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55A73C">
      <w:pPr>
        <w:pStyle w:val="2"/>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方正小标宋_GBK" w:hAnsi="方正小标宋_GBK" w:eastAsia="方正小标宋_GBK" w:cs="方正小标宋_GBK"/>
          <w:color w:val="auto"/>
          <w:kern w:val="2"/>
          <w:sz w:val="44"/>
          <w:szCs w:val="44"/>
          <w:highlight w:val="none"/>
        </w:rPr>
      </w:pPr>
      <w:bookmarkStart w:id="0" w:name="_GoBack"/>
      <w:bookmarkEnd w:id="0"/>
      <w:r>
        <w:rPr>
          <w:rFonts w:hint="eastAsia" w:ascii="方正小标宋_GBK" w:hAnsi="方正小标宋_GBK" w:eastAsia="方正小标宋_GBK" w:cs="方正小标宋_GBK"/>
          <w:color w:val="auto"/>
          <w:kern w:val="2"/>
          <w:sz w:val="44"/>
          <w:szCs w:val="44"/>
          <w:highlight w:val="none"/>
          <w:lang w:val="en-US" w:eastAsia="zh-CN" w:bidi="ar"/>
        </w:rPr>
        <w:t>2024年青岛教育大事</w:t>
      </w:r>
    </w:p>
    <w:p w14:paraId="1BC9815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jc w:val="center"/>
        <w:textAlignment w:val="auto"/>
        <w:rPr>
          <w:rFonts w:hint="eastAsia" w:ascii="方正小标宋简体" w:hAnsi="方正小标宋简体" w:eastAsia="方正小标宋简体" w:cs="方正小标宋简体"/>
          <w:color w:val="auto"/>
          <w:kern w:val="2"/>
          <w:sz w:val="44"/>
          <w:szCs w:val="44"/>
          <w:highlight w:val="none"/>
        </w:rPr>
      </w:pPr>
    </w:p>
    <w:p w14:paraId="11906B08">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黑体" w:hAnsi="黑体" w:eastAsia="黑体" w:cs="黑体"/>
          <w:color w:val="auto"/>
          <w:kern w:val="2"/>
          <w:sz w:val="32"/>
          <w:szCs w:val="32"/>
          <w:highlight w:val="none"/>
          <w:lang w:val="en-US" w:eastAsia="zh-CN" w:bidi="ar"/>
        </w:rPr>
      </w:pPr>
      <w:r>
        <w:rPr>
          <w:rFonts w:hint="eastAsia" w:ascii="黑体" w:hAnsi="黑体" w:eastAsia="黑体" w:cs="黑体"/>
          <w:color w:val="auto"/>
          <w:kern w:val="2"/>
          <w:sz w:val="32"/>
          <w:szCs w:val="32"/>
          <w:highlight w:val="none"/>
          <w:lang w:val="en-US" w:eastAsia="zh-CN" w:bidi="ar"/>
        </w:rPr>
        <w:t>一、习近平总书记给中国海洋大学全体师生回信</w:t>
      </w:r>
      <w:r>
        <w:rPr>
          <w:rFonts w:hint="eastAsia" w:ascii="黑体" w:hAnsi="黑体" w:eastAsia="黑体" w:cs="黑体"/>
          <w:color w:val="auto"/>
          <w:kern w:val="2"/>
          <w:sz w:val="32"/>
          <w:szCs w:val="32"/>
          <w:highlight w:val="none"/>
          <w:lang w:val="en-US" w:eastAsia="zh" w:bidi="ar"/>
        </w:rPr>
        <w:t>在全市教育系统引发热烈反响</w:t>
      </w:r>
      <w:r>
        <w:rPr>
          <w:rFonts w:hint="eastAsia" w:ascii="黑体" w:hAnsi="黑体" w:eastAsia="黑体" w:cs="黑体"/>
          <w:color w:val="auto"/>
          <w:kern w:val="2"/>
          <w:sz w:val="32"/>
          <w:szCs w:val="32"/>
          <w:highlight w:val="none"/>
          <w:lang w:val="en-US" w:eastAsia="zh-CN" w:bidi="ar"/>
        </w:rPr>
        <w:t>，全市教育系统干部师生倍感振奋，加压</w:t>
      </w:r>
      <w:r>
        <w:rPr>
          <w:rFonts w:hint="eastAsia" w:ascii="黑体" w:hAnsi="黑体" w:eastAsia="黑体" w:cs="黑体"/>
          <w:color w:val="auto"/>
          <w:kern w:val="2"/>
          <w:sz w:val="32"/>
          <w:szCs w:val="32"/>
          <w:highlight w:val="none"/>
          <w:lang w:val="en-US" w:eastAsia="zh" w:bidi="ar"/>
        </w:rPr>
        <w:t>奋进</w:t>
      </w:r>
      <w:r>
        <w:rPr>
          <w:rFonts w:hint="eastAsia" w:ascii="黑体" w:hAnsi="黑体" w:eastAsia="黑体" w:cs="黑体"/>
          <w:color w:val="auto"/>
          <w:kern w:val="2"/>
          <w:sz w:val="32"/>
          <w:szCs w:val="32"/>
          <w:highlight w:val="none"/>
          <w:lang w:val="en-US" w:eastAsia="zh-CN" w:bidi="ar"/>
        </w:rPr>
        <w:t>，积极投身</w:t>
      </w:r>
      <w:r>
        <w:rPr>
          <w:rFonts w:hint="eastAsia" w:ascii="黑体" w:hAnsi="黑体" w:eastAsia="黑体" w:cs="黑体"/>
          <w:color w:val="auto"/>
          <w:kern w:val="2"/>
          <w:sz w:val="32"/>
          <w:szCs w:val="32"/>
          <w:highlight w:val="none"/>
          <w:lang w:val="en-US" w:eastAsia="zh" w:bidi="ar"/>
        </w:rPr>
        <w:t>教育强国、海洋强国</w:t>
      </w:r>
      <w:r>
        <w:rPr>
          <w:rFonts w:hint="eastAsia" w:ascii="黑体" w:hAnsi="黑体" w:eastAsia="黑体" w:cs="黑体"/>
          <w:color w:val="auto"/>
          <w:kern w:val="2"/>
          <w:sz w:val="32"/>
          <w:szCs w:val="32"/>
          <w:highlight w:val="none"/>
          <w:lang w:val="en-US" w:eastAsia="zh-CN" w:bidi="ar"/>
        </w:rPr>
        <w:t>建设</w:t>
      </w:r>
    </w:p>
    <w:p w14:paraId="025D8D8A">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kern w:val="2"/>
          <w:sz w:val="32"/>
          <w:szCs w:val="32"/>
          <w:highlight w:val="none"/>
          <w:lang w:val="en-US" w:eastAsia="zh" w:bidi="ar"/>
        </w:rPr>
      </w:pPr>
      <w:r>
        <w:rPr>
          <w:rFonts w:hint="eastAsia" w:ascii="仿宋_GB2312" w:hAnsi="仿宋_GB2312" w:eastAsia="仿宋_GB2312" w:cs="仿宋_GB2312"/>
          <w:color w:val="auto"/>
          <w:kern w:val="2"/>
          <w:sz w:val="32"/>
          <w:szCs w:val="32"/>
          <w:highlight w:val="none"/>
          <w:lang w:val="en-US" w:eastAsia="zh-CN" w:bidi="ar"/>
        </w:rPr>
        <w:t>在中国海洋大学建校100周年之际，习近平总书记给中国海洋大学全体师生回信强调：加强原创性</w:t>
      </w:r>
      <w:r>
        <w:rPr>
          <w:rFonts w:hint="eastAsia" w:ascii="仿宋_GB2312" w:hAnsi="仿宋_GB2312" w:eastAsia="仿宋_GB2312" w:cs="仿宋_GB2312"/>
          <w:color w:val="auto"/>
          <w:kern w:val="2"/>
          <w:sz w:val="32"/>
          <w:szCs w:val="32"/>
          <w:highlight w:val="none"/>
          <w:lang w:val="en-US" w:eastAsia="zh" w:bidi="ar"/>
        </w:rPr>
        <w:t>、</w:t>
      </w:r>
      <w:r>
        <w:rPr>
          <w:rFonts w:hint="eastAsia" w:ascii="仿宋_GB2312" w:hAnsi="仿宋_GB2312" w:eastAsia="仿宋_GB2312" w:cs="仿宋_GB2312"/>
          <w:color w:val="auto"/>
          <w:kern w:val="2"/>
          <w:sz w:val="32"/>
          <w:szCs w:val="32"/>
          <w:highlight w:val="none"/>
          <w:lang w:val="en-US" w:eastAsia="zh-CN" w:bidi="ar"/>
        </w:rPr>
        <w:t>引领性海洋科技攻关，努力培养更多胸怀蓝色梦想</w:t>
      </w:r>
      <w:r>
        <w:rPr>
          <w:rFonts w:hint="eastAsia" w:ascii="仿宋_GB2312" w:hAnsi="仿宋_GB2312" w:eastAsia="仿宋_GB2312" w:cs="仿宋_GB2312"/>
          <w:color w:val="auto"/>
          <w:kern w:val="2"/>
          <w:sz w:val="32"/>
          <w:szCs w:val="32"/>
          <w:highlight w:val="none"/>
          <w:lang w:val="en-US" w:eastAsia="zh" w:bidi="ar"/>
        </w:rPr>
        <w:t>、</w:t>
      </w:r>
      <w:r>
        <w:rPr>
          <w:rFonts w:hint="eastAsia" w:ascii="仿宋_GB2312" w:hAnsi="仿宋_GB2312" w:eastAsia="仿宋_GB2312" w:cs="仿宋_GB2312"/>
          <w:color w:val="auto"/>
          <w:kern w:val="2"/>
          <w:sz w:val="32"/>
          <w:szCs w:val="32"/>
          <w:highlight w:val="none"/>
          <w:lang w:val="en-US" w:eastAsia="zh-CN" w:bidi="ar"/>
        </w:rPr>
        <w:t>堪当时代重任的优秀海洋人才。习近平总书记的回信在全市教育系统引发热烈反响，全市教育系统干部师生</w:t>
      </w:r>
      <w:r>
        <w:rPr>
          <w:rFonts w:hint="eastAsia" w:ascii="仿宋_GB2312" w:hAnsi="仿宋_GB2312" w:eastAsia="仿宋_GB2312" w:cs="仿宋_GB2312"/>
          <w:color w:val="auto"/>
          <w:kern w:val="2"/>
          <w:sz w:val="32"/>
          <w:szCs w:val="32"/>
          <w:highlight w:val="none"/>
          <w:lang w:val="en-US" w:eastAsia="zh" w:bidi="ar"/>
        </w:rPr>
        <w:t>高举习近平新时代中国特色社会主义思想伟大旗帜，</w:t>
      </w:r>
      <w:r>
        <w:rPr>
          <w:rFonts w:hint="eastAsia" w:ascii="仿宋_GB2312" w:hAnsi="仿宋_GB2312" w:eastAsia="仿宋_GB2312" w:cs="仿宋_GB2312"/>
          <w:color w:val="auto"/>
          <w:kern w:val="2"/>
          <w:sz w:val="32"/>
          <w:szCs w:val="32"/>
          <w:highlight w:val="none"/>
          <w:lang w:val="en-US" w:eastAsia="zh-CN" w:bidi="ar"/>
        </w:rPr>
        <w:t>倍感振奋</w:t>
      </w:r>
      <w:r>
        <w:rPr>
          <w:rFonts w:hint="eastAsia" w:ascii="仿宋_GB2312" w:hAnsi="仿宋_GB2312" w:eastAsia="仿宋_GB2312" w:cs="仿宋_GB2312"/>
          <w:color w:val="auto"/>
          <w:kern w:val="2"/>
          <w:sz w:val="32"/>
          <w:szCs w:val="32"/>
          <w:highlight w:val="none"/>
          <w:lang w:val="en-US" w:eastAsia="zh" w:bidi="ar"/>
        </w:rPr>
        <w:t>，勇担使命，</w:t>
      </w:r>
      <w:r>
        <w:rPr>
          <w:rFonts w:hint="eastAsia" w:ascii="仿宋_GB2312" w:hAnsi="仿宋_GB2312" w:eastAsia="仿宋_GB2312" w:cs="仿宋_GB2312"/>
          <w:color w:val="auto"/>
          <w:kern w:val="2"/>
          <w:sz w:val="32"/>
          <w:szCs w:val="32"/>
          <w:highlight w:val="none"/>
          <w:lang w:val="en-US" w:eastAsia="zh-CN" w:bidi="ar"/>
        </w:rPr>
        <w:t>加压</w:t>
      </w:r>
      <w:r>
        <w:rPr>
          <w:rFonts w:hint="eastAsia" w:ascii="仿宋_GB2312" w:hAnsi="仿宋_GB2312" w:eastAsia="仿宋_GB2312" w:cs="仿宋_GB2312"/>
          <w:color w:val="auto"/>
          <w:kern w:val="2"/>
          <w:sz w:val="32"/>
          <w:szCs w:val="32"/>
          <w:highlight w:val="none"/>
          <w:lang w:val="en-US" w:eastAsia="zh" w:bidi="ar"/>
        </w:rPr>
        <w:t>奋进，勇攀高峰，努力为建设教育强国、海洋强国作出更大贡献。</w:t>
      </w:r>
    </w:p>
    <w:p w14:paraId="45FC2B7A">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color w:val="auto"/>
          <w:kern w:val="2"/>
          <w:sz w:val="32"/>
          <w:szCs w:val="32"/>
          <w:highlight w:val="none"/>
          <w:lang w:val="en-US" w:eastAsia="zh-CN" w:bidi="ar"/>
        </w:rPr>
      </w:pPr>
      <w:r>
        <w:rPr>
          <w:rFonts w:hint="eastAsia" w:ascii="黑体" w:hAnsi="黑体" w:eastAsia="黑体" w:cs="黑体"/>
          <w:color w:val="auto"/>
          <w:kern w:val="2"/>
          <w:sz w:val="32"/>
          <w:szCs w:val="32"/>
          <w:highlight w:val="none"/>
          <w:lang w:val="en-US" w:eastAsia="zh-CN" w:bidi="ar"/>
        </w:rPr>
        <w:t>二、我市在省对市级人民政府履行教育职责评价中连续第五年获“优秀”等次，五个区市进入全省县（市、区）前十名，“两县”创建通过数量全省领先</w:t>
      </w:r>
    </w:p>
    <w:p w14:paraId="150EB313">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 w:bidi="ar"/>
        </w:rPr>
        <w:t>根据省政府教育督导委员会办公室公布的2023年对市、县人民政府履行教育职责评价结果，我市连续五年获优秀等次，五个区市进入全省167个县（市、区）前十名，</w:t>
      </w:r>
      <w:r>
        <w:rPr>
          <w:rFonts w:hint="eastAsia" w:ascii="仿宋_GB2312" w:hAnsi="仿宋_GB2312" w:eastAsia="仿宋_GB2312" w:cs="仿宋_GB2312"/>
          <w:color w:val="auto"/>
          <w:kern w:val="2"/>
          <w:sz w:val="32"/>
          <w:szCs w:val="32"/>
          <w:highlight w:val="none"/>
          <w:lang w:val="en-US" w:eastAsia="zh-CN" w:bidi="ar"/>
        </w:rPr>
        <w:t>其中</w:t>
      </w:r>
      <w:r>
        <w:rPr>
          <w:rFonts w:hint="eastAsia" w:ascii="仿宋_GB2312" w:hAnsi="仿宋_GB2312" w:eastAsia="仿宋_GB2312" w:cs="仿宋_GB2312"/>
          <w:color w:val="auto"/>
          <w:kern w:val="2"/>
          <w:sz w:val="32"/>
          <w:szCs w:val="32"/>
          <w:highlight w:val="none"/>
          <w:lang w:val="en-US" w:eastAsia="zh" w:bidi="ar"/>
        </w:rPr>
        <w:t>李沧区、市北区、市南区位列全省各县（市、区）前三名，城阳区和崂山区也名列前十。李沧区被认定为国家义务教育优质均衡县，市南区、市北区、李沧区、崂山区、城阳区、胶州市被认定为国家学前教育普及普惠县。我市通过“两县”创建国家和省级评估数量全省领先</w:t>
      </w:r>
      <w:r>
        <w:rPr>
          <w:rFonts w:hint="eastAsia" w:ascii="仿宋_GB2312" w:hAnsi="仿宋_GB2312" w:eastAsia="仿宋_GB2312" w:cs="仿宋_GB2312"/>
          <w:color w:val="auto"/>
          <w:kern w:val="2"/>
          <w:sz w:val="32"/>
          <w:szCs w:val="32"/>
          <w:highlight w:val="none"/>
          <w:lang w:val="en-US" w:eastAsia="zh-CN" w:bidi="ar"/>
        </w:rPr>
        <w:t>，全市义务教育优质均衡发展和学前教育普及普惠水平达到新高度。</w:t>
      </w:r>
    </w:p>
    <w:p w14:paraId="3A50AC6D">
      <w:pPr>
        <w:keepNext w:val="0"/>
        <w:keepLines w:val="0"/>
        <w:pageBreakBefore w:val="0"/>
        <w:widowControl/>
        <w:suppressLineNumbers w:val="0"/>
        <w:kinsoku/>
        <w:wordWrap/>
        <w:overflowPunct/>
        <w:topLinePunct w:val="0"/>
        <w:autoSpaceDN/>
        <w:bidi w:val="0"/>
        <w:adjustRightInd/>
        <w:snapToGrid/>
        <w:spacing w:line="560" w:lineRule="exact"/>
        <w:ind w:firstLine="640" w:firstLineChars="200"/>
        <w:jc w:val="left"/>
        <w:textAlignment w:val="auto"/>
        <w:rPr>
          <w:rFonts w:hint="eastAsia" w:ascii="黑体" w:hAnsi="黑体" w:eastAsia="黑体" w:cs="黑体"/>
          <w:color w:val="auto"/>
          <w:kern w:val="2"/>
          <w:sz w:val="32"/>
          <w:szCs w:val="32"/>
          <w:highlight w:val="none"/>
          <w:lang w:val="en-US" w:eastAsia="zh-CN" w:bidi="ar"/>
        </w:rPr>
      </w:pPr>
      <w:r>
        <w:rPr>
          <w:rFonts w:hint="eastAsia" w:ascii="黑体" w:hAnsi="黑体" w:eastAsia="黑体" w:cs="黑体"/>
          <w:color w:val="auto"/>
          <w:kern w:val="2"/>
          <w:sz w:val="32"/>
          <w:szCs w:val="32"/>
          <w:highlight w:val="none"/>
          <w:lang w:val="en-US" w:eastAsia="zh-CN" w:bidi="ar"/>
        </w:rPr>
        <w:t>三、市委市政府召开庆祝第四十个教师节表彰大会，骨干教师数量达2.2万人，教师队伍建设水平量质齐升</w:t>
      </w:r>
    </w:p>
    <w:p w14:paraId="27A107AC">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市委市政府召开庆祝第四十个教师节表彰大会，表彰15个尊师重教先进集体、76个教书育人先进集体和197名先进个人。我市15人获评全国模范教师、全国优秀教师、全国优秀教育工作者，3个单位获评全国教育系统先进集体，9人入选首届齐鲁教育名家培育工程，55人获评第11批省特级教师、41人获评省优秀教师，全市区（市）级及以上骨干教师达2.2万人，占全市专任教师的1/6，教师队伍建设支撑教育高质量发展的基础进一步夯实。</w:t>
      </w:r>
    </w:p>
    <w:p w14:paraId="41BD5FF0">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color w:val="auto"/>
          <w:kern w:val="2"/>
          <w:sz w:val="32"/>
          <w:szCs w:val="32"/>
          <w:highlight w:val="none"/>
          <w:lang w:val="en-US" w:eastAsia="zh-CN" w:bidi="ar"/>
        </w:rPr>
      </w:pPr>
      <w:r>
        <w:rPr>
          <w:rFonts w:hint="eastAsia" w:ascii="黑体" w:hAnsi="黑体" w:eastAsia="黑体" w:cs="黑体"/>
          <w:color w:val="auto"/>
          <w:kern w:val="2"/>
          <w:sz w:val="32"/>
          <w:szCs w:val="32"/>
          <w:highlight w:val="none"/>
          <w:lang w:val="en-US" w:eastAsia="zh-CN" w:bidi="ar"/>
        </w:rPr>
        <w:t>四、</w:t>
      </w:r>
      <w:r>
        <w:rPr>
          <w:rFonts w:hint="eastAsia" w:ascii="黑体" w:hAnsi="黑体" w:eastAsia="黑体" w:cs="黑体"/>
          <w:color w:val="auto"/>
          <w:kern w:val="2"/>
          <w:sz w:val="32"/>
          <w:szCs w:val="32"/>
          <w:highlight w:val="none"/>
          <w:lang w:val="en-US" w:eastAsia="zh" w:bidi="ar"/>
        </w:rPr>
        <w:t>超额完成新建改扩建学校项目，</w:t>
      </w:r>
      <w:r>
        <w:rPr>
          <w:rFonts w:hint="eastAsia" w:ascii="黑体" w:hAnsi="黑体" w:eastAsia="黑体" w:cs="黑体"/>
          <w:color w:val="auto"/>
          <w:kern w:val="2"/>
          <w:sz w:val="32"/>
          <w:szCs w:val="32"/>
          <w:highlight w:val="none"/>
          <w:lang w:val="en-US" w:eastAsia="zh-CN" w:bidi="ar"/>
        </w:rPr>
        <w:t>新增</w:t>
      </w:r>
      <w:r>
        <w:rPr>
          <w:rFonts w:hint="eastAsia" w:ascii="黑体" w:hAnsi="黑体" w:eastAsia="黑体" w:cs="黑体"/>
          <w:color w:val="auto"/>
          <w:kern w:val="2"/>
          <w:sz w:val="32"/>
          <w:szCs w:val="32"/>
          <w:highlight w:val="none"/>
          <w:lang w:val="en-US" w:eastAsia="zh" w:bidi="ar"/>
        </w:rPr>
        <w:t>优质</w:t>
      </w:r>
      <w:r>
        <w:rPr>
          <w:rFonts w:hint="eastAsia" w:ascii="黑体" w:hAnsi="黑体" w:eastAsia="黑体" w:cs="黑体"/>
          <w:color w:val="auto"/>
          <w:kern w:val="2"/>
          <w:sz w:val="32"/>
          <w:szCs w:val="32"/>
          <w:highlight w:val="none"/>
          <w:lang w:val="en-US" w:eastAsia="zh-CN" w:bidi="ar"/>
        </w:rPr>
        <w:t>学位6.6万个，全面满足入学高峰期学生入学需求</w:t>
      </w:r>
    </w:p>
    <w:p w14:paraId="3FB0F25F">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全市开工新建、改扩建中小学和幼儿园32所，续建完工42所，增加优质学位6.6万个，全面保障了入学高峰期小学新生的顺利入学。持续改善农村园办园条件，完成51所农村薄弱幼儿园改造，惠及农村幼儿4600余人。青岛五十八中北校区、青岛二中东校区项目顺利推进，建成后将新增优质普高学位3600个。</w:t>
      </w:r>
    </w:p>
    <w:p w14:paraId="161BB1D6">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color w:val="auto"/>
          <w:kern w:val="2"/>
          <w:sz w:val="32"/>
          <w:szCs w:val="32"/>
          <w:highlight w:val="none"/>
          <w:lang w:val="en-US" w:eastAsia="zh-CN" w:bidi="ar"/>
        </w:rPr>
      </w:pPr>
      <w:r>
        <w:rPr>
          <w:rFonts w:hint="eastAsia" w:ascii="黑体" w:hAnsi="黑体" w:eastAsia="黑体" w:cs="黑体"/>
          <w:color w:val="auto"/>
          <w:kern w:val="2"/>
          <w:sz w:val="32"/>
          <w:szCs w:val="32"/>
          <w:highlight w:val="none"/>
          <w:lang w:val="en-US" w:eastAsia="zh-CN" w:bidi="ar"/>
        </w:rPr>
        <w:t>五、大批新优质学校（园）快速成长</w:t>
      </w:r>
      <w:r>
        <w:rPr>
          <w:rFonts w:hint="eastAsia" w:ascii="黑体" w:hAnsi="黑体" w:eastAsia="黑体" w:cs="黑体"/>
          <w:color w:val="auto"/>
          <w:kern w:val="2"/>
          <w:sz w:val="32"/>
          <w:szCs w:val="32"/>
          <w:highlight w:val="none"/>
          <w:lang w:val="en-US" w:eastAsia="zh" w:bidi="ar"/>
        </w:rPr>
        <w:t>，</w:t>
      </w:r>
      <w:r>
        <w:rPr>
          <w:rFonts w:hint="eastAsia" w:ascii="黑体" w:hAnsi="黑体" w:eastAsia="黑体" w:cs="黑体"/>
          <w:color w:val="auto"/>
          <w:kern w:val="2"/>
          <w:sz w:val="32"/>
          <w:szCs w:val="32"/>
          <w:highlight w:val="none"/>
          <w:lang w:val="en-US" w:eastAsia="zh-CN" w:bidi="ar"/>
        </w:rPr>
        <w:t>普通高中实现优质特色发展</w:t>
      </w:r>
      <w:r>
        <w:rPr>
          <w:rFonts w:hint="eastAsia" w:ascii="黑体" w:hAnsi="黑体" w:eastAsia="黑体" w:cs="黑体"/>
          <w:color w:val="auto"/>
          <w:kern w:val="2"/>
          <w:sz w:val="32"/>
          <w:szCs w:val="32"/>
          <w:highlight w:val="none"/>
          <w:lang w:val="en-US" w:eastAsia="zh" w:bidi="ar"/>
        </w:rPr>
        <w:t>，</w:t>
      </w:r>
      <w:r>
        <w:rPr>
          <w:rFonts w:hint="eastAsia" w:ascii="黑体" w:hAnsi="黑体" w:eastAsia="黑体" w:cs="黑体"/>
          <w:color w:val="auto"/>
          <w:kern w:val="2"/>
          <w:sz w:val="32"/>
          <w:szCs w:val="32"/>
          <w:highlight w:val="none"/>
          <w:lang w:val="en-US" w:eastAsia="zh-CN" w:bidi="ar"/>
        </w:rPr>
        <w:t>家门口好学校越来越多，</w:t>
      </w:r>
      <w:r>
        <w:rPr>
          <w:rFonts w:hint="eastAsia" w:ascii="黑体" w:hAnsi="黑体" w:eastAsia="黑体" w:cs="黑体"/>
          <w:color w:val="auto"/>
          <w:kern w:val="2"/>
          <w:sz w:val="32"/>
          <w:szCs w:val="32"/>
          <w:highlight w:val="none"/>
          <w:lang w:val="en-US" w:eastAsia="zh" w:bidi="ar"/>
        </w:rPr>
        <w:t>经验</w:t>
      </w:r>
      <w:r>
        <w:rPr>
          <w:rFonts w:hint="eastAsia" w:ascii="黑体" w:hAnsi="黑体" w:eastAsia="黑体" w:cs="黑体"/>
          <w:color w:val="auto"/>
          <w:kern w:val="2"/>
          <w:sz w:val="32"/>
          <w:szCs w:val="32"/>
          <w:highlight w:val="none"/>
          <w:lang w:val="en-US" w:eastAsia="zh-CN" w:bidi="ar"/>
        </w:rPr>
        <w:t>做法被教育部推广</w:t>
      </w:r>
    </w:p>
    <w:p w14:paraId="37207963">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圆满完成基础教育优质资源倍增三年行动计划，幼有优育突破、新校高位发展、初中强校提质、高中优质特色发展等一揽子措施取得明显成效：幼儿园公办率、优质率大幅提升到63%、90%，中小学集团化办学覆盖率达到85%，新启用的107所中小学全部建成优质校，53所强校提质试点初中办学质量显著提升，更多教育新高地快速崛起。</w:t>
      </w:r>
      <w:r>
        <w:rPr>
          <w:rFonts w:hint="eastAsia" w:ascii="仿宋_GB2312" w:hAnsi="仿宋_GB2312" w:eastAsia="仿宋_GB2312" w:cs="仿宋_GB2312"/>
          <w:color w:val="auto"/>
          <w:kern w:val="2"/>
          <w:sz w:val="32"/>
          <w:szCs w:val="32"/>
          <w:highlight w:val="none"/>
          <w:lang w:val="en-US" w:eastAsia="zh" w:bidi="ar"/>
        </w:rPr>
        <w:t>7所高中迈入省级特色高中行列，8所高中获批省级学科基地校，2所高中获评新课程新教材实施国家级示范校，1所高中获评全国科学教育实验校</w:t>
      </w:r>
      <w:r>
        <w:rPr>
          <w:rFonts w:hint="eastAsia" w:ascii="仿宋_GB2312" w:hAnsi="仿宋_GB2312" w:eastAsia="仿宋_GB2312" w:cs="仿宋_GB2312"/>
          <w:color w:val="auto"/>
          <w:kern w:val="2"/>
          <w:sz w:val="32"/>
          <w:szCs w:val="32"/>
          <w:highlight w:val="none"/>
          <w:lang w:val="en-US" w:eastAsia="zh-CN" w:bidi="ar"/>
        </w:rPr>
        <w:t>。我市工作经验在全省教育大会推广，我市获批国家基础教育综合改革实验区、国家特殊教育改革实验区。</w:t>
      </w:r>
    </w:p>
    <w:p w14:paraId="7B2F7537">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left="0" w:right="0" w:rightChars="0" w:firstLine="640" w:firstLineChars="200"/>
        <w:jc w:val="both"/>
        <w:textAlignment w:val="auto"/>
        <w:rPr>
          <w:rFonts w:hint="eastAsia" w:ascii="黑体" w:hAnsi="黑体" w:eastAsia="黑体" w:cs="黑体"/>
          <w:color w:val="000000"/>
          <w:kern w:val="2"/>
          <w:sz w:val="32"/>
          <w:szCs w:val="32"/>
          <w:highlight w:val="none"/>
          <w:lang w:val="en-US" w:eastAsia="zh-CN" w:bidi="ar"/>
        </w:rPr>
      </w:pPr>
      <w:r>
        <w:rPr>
          <w:rFonts w:hint="eastAsia" w:ascii="黑体" w:hAnsi="黑体" w:eastAsia="黑体" w:cs="黑体"/>
          <w:color w:val="000000"/>
          <w:kern w:val="2"/>
          <w:sz w:val="32"/>
          <w:szCs w:val="32"/>
          <w:highlight w:val="none"/>
          <w:lang w:val="en-US" w:eastAsia="zh-CN" w:bidi="ar"/>
        </w:rPr>
        <w:t>六、新型</w:t>
      </w:r>
      <w:r>
        <w:rPr>
          <w:rFonts w:hint="eastAsia" w:ascii="黑体" w:hAnsi="黑体" w:eastAsia="黑体" w:cs="黑体"/>
          <w:color w:val="000000"/>
          <w:kern w:val="2"/>
          <w:sz w:val="32"/>
          <w:szCs w:val="32"/>
          <w:highlight w:val="none"/>
          <w:lang w:val="en-US" w:eastAsia="zh" w:bidi="ar"/>
        </w:rPr>
        <w:t>五年制高职</w:t>
      </w:r>
      <w:r>
        <w:rPr>
          <w:rFonts w:hint="eastAsia" w:ascii="黑体" w:hAnsi="黑体" w:eastAsia="黑体" w:cs="黑体"/>
          <w:color w:val="000000"/>
          <w:kern w:val="2"/>
          <w:sz w:val="32"/>
          <w:szCs w:val="32"/>
          <w:highlight w:val="none"/>
          <w:lang w:val="en-US" w:eastAsia="zh-CN" w:bidi="ar"/>
        </w:rPr>
        <w:t>提供学位8000余个，我市再次被省政府授予“全省职业教育改革成效明显的市”称号，职业教育升学有通道、就业有优势、发展有空间成为现实</w:t>
      </w:r>
    </w:p>
    <w:p w14:paraId="4CC6C80D">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Times New Roman" w:hAnsi="Times New Roman" w:eastAsia="华文仿宋" w:cs="Times New Roman"/>
          <w:color w:val="FF0000"/>
          <w:kern w:val="2"/>
          <w:sz w:val="32"/>
          <w:szCs w:val="32"/>
          <w:highlight w:val="none"/>
          <w:lang w:val="en-US" w:eastAsia="zh" w:bidi="ar"/>
        </w:rPr>
      </w:pPr>
      <w:r>
        <w:rPr>
          <w:rFonts w:hint="eastAsia" w:ascii="仿宋_GB2312" w:hAnsi="仿宋_GB2312" w:eastAsia="仿宋_GB2312" w:cs="仿宋_GB2312"/>
          <w:color w:val="000000"/>
          <w:kern w:val="2"/>
          <w:sz w:val="32"/>
          <w:szCs w:val="32"/>
          <w:highlight w:val="none"/>
          <w:lang w:val="zh-CN" w:eastAsia="zh-CN" w:bidi="ar"/>
        </w:rPr>
        <w:t>13所中职学校、135个专业点获批新型初中后五年高职教育招生资格，</w:t>
      </w:r>
      <w:r>
        <w:rPr>
          <w:rFonts w:hint="eastAsia" w:ascii="仿宋_GB2312" w:hAnsi="仿宋_GB2312" w:eastAsia="仿宋_GB2312" w:cs="仿宋_GB2312"/>
          <w:color w:val="000000"/>
          <w:kern w:val="2"/>
          <w:sz w:val="32"/>
          <w:szCs w:val="32"/>
          <w:highlight w:val="none"/>
          <w:lang w:val="en-US" w:eastAsia="zh-CN" w:bidi="ar"/>
        </w:rPr>
        <w:t>试点学位达到8000余个，推动人才培养模式改革，构建现代职教体系。</w:t>
      </w:r>
      <w:r>
        <w:rPr>
          <w:rFonts w:hint="eastAsia" w:ascii="仿宋_GB2312" w:hAnsi="仿宋_GB2312" w:eastAsia="仿宋_GB2312" w:cs="仿宋_GB2312"/>
          <w:color w:val="000000"/>
          <w:kern w:val="2"/>
          <w:sz w:val="32"/>
          <w:szCs w:val="32"/>
          <w:highlight w:val="none"/>
          <w:lang w:val="en-US" w:eastAsia="zh" w:bidi="ar"/>
        </w:rPr>
        <w:t>全市共培育6个省级示范产教联合体、20个产教融合共同体</w:t>
      </w:r>
      <w:r>
        <w:rPr>
          <w:rFonts w:hint="eastAsia" w:ascii="仿宋_GB2312" w:hAnsi="仿宋_GB2312" w:eastAsia="仿宋_GB2312" w:cs="仿宋_GB2312"/>
          <w:color w:val="000000"/>
          <w:kern w:val="2"/>
          <w:sz w:val="32"/>
          <w:szCs w:val="32"/>
          <w:highlight w:val="none"/>
          <w:lang w:val="en-US" w:eastAsia="zh-CN" w:bidi="ar"/>
        </w:rPr>
        <w:t>，推动产教深度融合。</w:t>
      </w:r>
      <w:r>
        <w:rPr>
          <w:rFonts w:hint="eastAsia" w:ascii="仿宋_GB2312" w:hAnsi="仿宋_GB2312" w:eastAsia="仿宋_GB2312" w:cs="仿宋_GB2312"/>
          <w:color w:val="000000"/>
          <w:kern w:val="2"/>
          <w:sz w:val="32"/>
          <w:szCs w:val="32"/>
          <w:highlight w:val="none"/>
          <w:lang w:val="en-US" w:eastAsia="zh" w:bidi="ar"/>
        </w:rPr>
        <w:t>全省中职学校现代治理暨校园文化建设现场会在我市召开</w:t>
      </w:r>
      <w:r>
        <w:rPr>
          <w:rFonts w:hint="eastAsia" w:ascii="仿宋_GB2312" w:hAnsi="仿宋_GB2312" w:eastAsia="仿宋_GB2312" w:cs="仿宋_GB2312"/>
          <w:color w:val="000000"/>
          <w:kern w:val="2"/>
          <w:sz w:val="32"/>
          <w:szCs w:val="32"/>
          <w:highlight w:val="none"/>
          <w:lang w:val="en-US" w:eastAsia="zh-CN" w:bidi="ar"/>
        </w:rPr>
        <w:t>。</w:t>
      </w:r>
      <w:r>
        <w:rPr>
          <w:rFonts w:hint="eastAsia" w:ascii="仿宋_GB2312" w:hAnsi="仿宋_GB2312" w:eastAsia="仿宋_GB2312" w:cs="仿宋_GB2312"/>
          <w:color w:val="000000"/>
          <w:kern w:val="2"/>
          <w:sz w:val="32"/>
          <w:szCs w:val="32"/>
          <w:highlight w:val="none"/>
          <w:lang w:val="en-US" w:eastAsia="zh" w:bidi="ar"/>
        </w:rPr>
        <w:t>成功承办2024年职业教育活动周全省启动仪式，中央电视台</w:t>
      </w:r>
      <w:r>
        <w:rPr>
          <w:rFonts w:hint="eastAsia" w:ascii="仿宋_GB2312" w:hAnsi="仿宋_GB2312" w:eastAsia="仿宋_GB2312" w:cs="仿宋_GB2312"/>
          <w:color w:val="000000"/>
          <w:kern w:val="2"/>
          <w:sz w:val="32"/>
          <w:szCs w:val="32"/>
          <w:highlight w:val="none"/>
          <w:lang w:val="en-US" w:eastAsia="zh-CN" w:bidi="ar"/>
        </w:rPr>
        <w:t>《</w:t>
      </w:r>
      <w:r>
        <w:rPr>
          <w:rFonts w:hint="eastAsia" w:ascii="仿宋_GB2312" w:hAnsi="仿宋_GB2312" w:eastAsia="仿宋_GB2312" w:cs="仿宋_GB2312"/>
          <w:color w:val="000000"/>
          <w:kern w:val="2"/>
          <w:sz w:val="32"/>
          <w:szCs w:val="32"/>
          <w:highlight w:val="none"/>
          <w:lang w:val="en-US" w:eastAsia="zh" w:bidi="ar"/>
        </w:rPr>
        <w:t>新闻联播</w:t>
      </w:r>
      <w:r>
        <w:rPr>
          <w:rFonts w:hint="eastAsia" w:ascii="仿宋_GB2312" w:hAnsi="仿宋_GB2312" w:eastAsia="仿宋_GB2312" w:cs="仿宋_GB2312"/>
          <w:color w:val="000000"/>
          <w:kern w:val="2"/>
          <w:sz w:val="32"/>
          <w:szCs w:val="32"/>
          <w:highlight w:val="none"/>
          <w:lang w:val="en-US" w:eastAsia="zh-CN" w:bidi="ar"/>
        </w:rPr>
        <w:t>》</w:t>
      </w:r>
      <w:r>
        <w:rPr>
          <w:rFonts w:hint="eastAsia" w:ascii="仿宋_GB2312" w:hAnsi="仿宋_GB2312" w:eastAsia="仿宋_GB2312" w:cs="仿宋_GB2312"/>
          <w:color w:val="000000"/>
          <w:kern w:val="2"/>
          <w:sz w:val="32"/>
          <w:szCs w:val="32"/>
          <w:highlight w:val="none"/>
          <w:lang w:val="en-US" w:eastAsia="zh" w:bidi="ar"/>
        </w:rPr>
        <w:t>报道</w:t>
      </w:r>
      <w:r>
        <w:rPr>
          <w:rFonts w:hint="eastAsia" w:ascii="仿宋_GB2312" w:hAnsi="仿宋_GB2312" w:eastAsia="仿宋_GB2312" w:cs="仿宋_GB2312"/>
          <w:color w:val="000000"/>
          <w:kern w:val="2"/>
          <w:sz w:val="32"/>
          <w:szCs w:val="32"/>
          <w:highlight w:val="none"/>
          <w:lang w:val="en-US" w:eastAsia="zh-CN" w:bidi="ar"/>
        </w:rPr>
        <w:t>，职业教育影响力进一步扩大</w:t>
      </w:r>
      <w:r>
        <w:rPr>
          <w:rFonts w:hint="eastAsia" w:ascii="仿宋_GB2312" w:hAnsi="仿宋_GB2312" w:eastAsia="仿宋_GB2312" w:cs="仿宋_GB2312"/>
          <w:color w:val="000000"/>
          <w:kern w:val="2"/>
          <w:sz w:val="32"/>
          <w:szCs w:val="32"/>
          <w:highlight w:val="none"/>
          <w:lang w:val="en-US" w:eastAsia="zh" w:bidi="ar"/>
        </w:rPr>
        <w:t>。</w:t>
      </w:r>
    </w:p>
    <w:p w14:paraId="39BED4B1">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color w:val="000000"/>
          <w:kern w:val="2"/>
          <w:sz w:val="32"/>
          <w:szCs w:val="32"/>
          <w:highlight w:val="none"/>
          <w:lang w:val="en-US" w:eastAsia="zh-CN" w:bidi="ar"/>
        </w:rPr>
      </w:pPr>
      <w:r>
        <w:rPr>
          <w:rFonts w:hint="eastAsia" w:ascii="黑体" w:hAnsi="黑体" w:eastAsia="黑体" w:cs="黑体"/>
          <w:color w:val="000000"/>
          <w:kern w:val="2"/>
          <w:sz w:val="32"/>
          <w:szCs w:val="32"/>
          <w:highlight w:val="none"/>
          <w:lang w:val="en-US" w:eastAsia="zh-CN" w:bidi="ar"/>
        </w:rPr>
        <w:t>七、中职学生在世界技能大赛中获得11</w:t>
      </w:r>
      <w:r>
        <w:rPr>
          <w:rFonts w:hint="eastAsia" w:ascii="黑体" w:hAnsi="黑体" w:eastAsia="黑体" w:cs="黑体"/>
          <w:color w:val="000000"/>
          <w:kern w:val="2"/>
          <w:sz w:val="32"/>
          <w:szCs w:val="32"/>
          <w:highlight w:val="none"/>
          <w:lang w:val="en-US" w:eastAsia="zh" w:bidi="ar"/>
        </w:rPr>
        <w:t>个</w:t>
      </w:r>
      <w:r>
        <w:rPr>
          <w:rFonts w:hint="eastAsia" w:ascii="黑体" w:hAnsi="黑体" w:eastAsia="黑体" w:cs="黑体"/>
          <w:color w:val="000000"/>
          <w:kern w:val="2"/>
          <w:sz w:val="32"/>
          <w:szCs w:val="32"/>
          <w:highlight w:val="none"/>
          <w:lang w:val="en-US" w:eastAsia="zh-CN" w:bidi="ar"/>
        </w:rPr>
        <w:t>金奖，职业教育办学质量进一步提升</w:t>
      </w:r>
    </w:p>
    <w:p w14:paraId="6B68A200">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中职学生获得11</w:t>
      </w:r>
      <w:r>
        <w:rPr>
          <w:rFonts w:hint="eastAsia" w:ascii="仿宋_GB2312" w:hAnsi="仿宋_GB2312" w:eastAsia="仿宋_GB2312" w:cs="仿宋_GB2312"/>
          <w:color w:val="000000"/>
          <w:kern w:val="2"/>
          <w:sz w:val="32"/>
          <w:szCs w:val="32"/>
          <w:highlight w:val="none"/>
          <w:lang w:val="en-US" w:eastAsia="zh" w:bidi="ar"/>
        </w:rPr>
        <w:t>个</w:t>
      </w:r>
      <w:r>
        <w:rPr>
          <w:rFonts w:hint="eastAsia" w:ascii="仿宋_GB2312" w:hAnsi="仿宋_GB2312" w:eastAsia="仿宋_GB2312" w:cs="仿宋_GB2312"/>
          <w:color w:val="000000"/>
          <w:kern w:val="2"/>
          <w:sz w:val="32"/>
          <w:szCs w:val="32"/>
          <w:highlight w:val="none"/>
          <w:lang w:val="en-US" w:eastAsia="zh-CN" w:bidi="ar"/>
        </w:rPr>
        <w:t>世界职业院校技能大赛</w:t>
      </w:r>
      <w:r>
        <w:rPr>
          <w:rFonts w:hint="eastAsia" w:ascii="仿宋_GB2312" w:hAnsi="仿宋_GB2312" w:eastAsia="仿宋_GB2312" w:cs="仿宋_GB2312"/>
          <w:color w:val="000000"/>
          <w:kern w:val="2"/>
          <w:sz w:val="32"/>
          <w:szCs w:val="32"/>
          <w:highlight w:val="none"/>
          <w:lang w:val="en-US" w:eastAsia="zh" w:bidi="ar"/>
        </w:rPr>
        <w:t>金奖</w:t>
      </w:r>
      <w:r>
        <w:rPr>
          <w:rFonts w:hint="eastAsia" w:ascii="仿宋_GB2312" w:hAnsi="仿宋_GB2312" w:eastAsia="仿宋_GB2312" w:cs="仿宋_GB2312"/>
          <w:color w:val="000000"/>
          <w:kern w:val="2"/>
          <w:sz w:val="32"/>
          <w:szCs w:val="32"/>
          <w:highlight w:val="none"/>
          <w:lang w:val="en-US" w:eastAsia="zh-CN" w:bidi="ar"/>
        </w:rPr>
        <w:t>，20个银奖、10个铜奖</w:t>
      </w:r>
      <w:r>
        <w:rPr>
          <w:rFonts w:hint="eastAsia" w:ascii="仿宋_GB2312" w:hAnsi="仿宋_GB2312" w:eastAsia="仿宋_GB2312" w:cs="仿宋_GB2312"/>
          <w:color w:val="000000"/>
          <w:kern w:val="2"/>
          <w:sz w:val="32"/>
          <w:szCs w:val="32"/>
          <w:highlight w:val="none"/>
          <w:lang w:val="en-US" w:eastAsia="zh" w:bidi="ar"/>
        </w:rPr>
        <w:t>，位居计划单列市第一，全省第一，金奖</w:t>
      </w:r>
      <w:r>
        <w:rPr>
          <w:rFonts w:hint="eastAsia" w:ascii="仿宋_GB2312" w:hAnsi="仿宋_GB2312" w:eastAsia="仿宋_GB2312" w:cs="仿宋_GB2312"/>
          <w:color w:val="000000"/>
          <w:kern w:val="2"/>
          <w:sz w:val="32"/>
          <w:szCs w:val="32"/>
          <w:highlight w:val="none"/>
          <w:lang w:val="en-US" w:eastAsia="zh-CN" w:bidi="ar"/>
        </w:rPr>
        <w:t>数量</w:t>
      </w:r>
      <w:r>
        <w:rPr>
          <w:rFonts w:hint="eastAsia" w:ascii="仿宋_GB2312" w:hAnsi="仿宋_GB2312" w:eastAsia="仿宋_GB2312" w:cs="仿宋_GB2312"/>
          <w:color w:val="000000"/>
          <w:kern w:val="2"/>
          <w:sz w:val="32"/>
          <w:szCs w:val="32"/>
          <w:highlight w:val="none"/>
          <w:lang w:val="en-US" w:eastAsia="zh" w:bidi="ar"/>
        </w:rPr>
        <w:t>占山东总数的28%</w:t>
      </w:r>
      <w:r>
        <w:rPr>
          <w:rFonts w:hint="eastAsia" w:ascii="仿宋_GB2312" w:hAnsi="仿宋_GB2312" w:eastAsia="仿宋_GB2312" w:cs="仿宋_GB2312"/>
          <w:color w:val="000000"/>
          <w:kern w:val="2"/>
          <w:sz w:val="32"/>
          <w:szCs w:val="32"/>
          <w:highlight w:val="none"/>
          <w:lang w:val="en-US" w:eastAsia="zh-CN" w:bidi="ar"/>
        </w:rPr>
        <w:t>。获得24个全省职业院校技能大赛一等奖，位列全省第一，实现历史性突破。高层次技能人才培养质量进一步提升，服务学生发展和产业发展能力进一步提升。</w:t>
      </w:r>
    </w:p>
    <w:p w14:paraId="4F954D72">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color w:val="auto"/>
          <w:kern w:val="2"/>
          <w:sz w:val="32"/>
          <w:szCs w:val="32"/>
          <w:highlight w:val="none"/>
          <w:lang w:val="en-US" w:eastAsia="zh-CN" w:bidi="ar"/>
        </w:rPr>
      </w:pPr>
      <w:r>
        <w:rPr>
          <w:rFonts w:hint="eastAsia" w:ascii="黑体" w:hAnsi="黑体" w:eastAsia="黑体" w:cs="黑体"/>
          <w:color w:val="auto"/>
          <w:kern w:val="2"/>
          <w:sz w:val="32"/>
          <w:szCs w:val="32"/>
          <w:highlight w:val="none"/>
          <w:lang w:val="en-US" w:eastAsia="zh-CN" w:bidi="ar"/>
        </w:rPr>
        <w:t>八、基础教育教学质量稳居全省第一方阵并连年攀升，更多学子进入理想大学就读</w:t>
      </w:r>
    </w:p>
    <w:p w14:paraId="1AEE1DC4">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启动中小学教育教学改革三年行动计划，实施课程品质跃升、教学研究转型、学生素质提升、教学管理领导力提升、教学评价牵引、教育教学改革保障等六项行动，持续提升校长课程领导力、培养尖兵教师。开展教师教学述评试点，强化信息技术赋能，加强中小学科学教育和拔尖创新后备人才培养，全域打造“青岛好课”，我市基础教育教学质量稳居全省第一方阵并连年攀升。</w:t>
      </w:r>
    </w:p>
    <w:p w14:paraId="30F6E02B">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color w:val="000000"/>
          <w:kern w:val="2"/>
          <w:sz w:val="32"/>
          <w:szCs w:val="32"/>
          <w:highlight w:val="none"/>
          <w:lang w:val="en-US" w:eastAsia="zh-CN" w:bidi="ar"/>
        </w:rPr>
      </w:pPr>
      <w:r>
        <w:rPr>
          <w:rFonts w:hint="eastAsia" w:ascii="黑体" w:hAnsi="黑体" w:eastAsia="黑体" w:cs="黑体"/>
          <w:color w:val="000000"/>
          <w:kern w:val="2"/>
          <w:sz w:val="32"/>
          <w:szCs w:val="32"/>
          <w:highlight w:val="none"/>
          <w:lang w:val="en-US" w:eastAsia="zh-CN" w:bidi="ar"/>
        </w:rPr>
        <w:t>九、中小学生体质健康监测合格率和优良率均居全省第一，儿童青少年总体近视率连续3年下降，学生阳光健康成长</w:t>
      </w:r>
    </w:p>
    <w:p w14:paraId="469699B7">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Times New Roman" w:hAnsi="Times New Roman" w:eastAsia="华文仿宋" w:cs="Times New Roman"/>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实施教医联动、专家包校指导立体宣教行动，全域开展在校生视觉、脊柱、心理健康筛查，全市儿童青少年总体近视率连续3年下降。严格落实体育课程刚性要求，确保每天阳光大课间活动一小时，李沧区创新“课间15分钟”改革，获得《焦点访谈》《人民日报》等央媒关注。全市中小学生体质健康监测合格率和优良率均全省第一，青岛作为唯一地市代表参加省政府加强学生体质健康促进工作新闻发布会。</w:t>
      </w:r>
    </w:p>
    <w:p w14:paraId="24735ABF">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color w:val="000000"/>
          <w:kern w:val="2"/>
          <w:sz w:val="32"/>
          <w:szCs w:val="32"/>
          <w:highlight w:val="none"/>
          <w:lang w:val="en-US" w:eastAsia="zh-CN" w:bidi="ar"/>
        </w:rPr>
      </w:pPr>
      <w:r>
        <w:rPr>
          <w:rFonts w:hint="eastAsia" w:ascii="黑体" w:hAnsi="黑体" w:eastAsia="黑体" w:cs="黑体"/>
          <w:color w:val="000000"/>
          <w:kern w:val="2"/>
          <w:sz w:val="32"/>
          <w:szCs w:val="32"/>
          <w:highlight w:val="none"/>
          <w:lang w:val="en-US" w:eastAsia="zh-CN" w:bidi="ar"/>
        </w:rPr>
        <w:t>十、获批全国校园足球人才培养改革和新型足球学校建设试点，青岛六十七中夺得全国高中男篮亚军，校园体育事业实现历史新突破</w:t>
      </w:r>
    </w:p>
    <w:p w14:paraId="1B7E917C">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获批全国首批校园足球人才培养改革和新型足球学校建设试点，在全省校园足球联赛中分获初中、高中、中职男子组以及高中女子组冠军。青岛实验初中再获全国中学生女子团体田径冠军。青岛六十七中获2024全国高中篮球联赛亚军，创造山东校园篮球新历史。</w:t>
      </w:r>
    </w:p>
    <w:p w14:paraId="6E40D185">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方正黑体_GBK" w:hAnsi="方正黑体_GBK" w:eastAsia="方正黑体_GBK" w:cs="方正黑体_GBK"/>
          <w:color w:val="auto"/>
          <w:kern w:val="2"/>
          <w:sz w:val="32"/>
          <w:szCs w:val="32"/>
          <w:highlight w:val="none"/>
          <w:lang w:val="en-US" w:eastAsia="zh-CN" w:bidi="ar"/>
        </w:rPr>
      </w:pPr>
      <w:r>
        <w:rPr>
          <w:rFonts w:hint="eastAsia" w:ascii="黑体" w:hAnsi="黑体" w:eastAsia="黑体" w:cs="黑体"/>
          <w:color w:val="auto"/>
          <w:kern w:val="2"/>
          <w:sz w:val="32"/>
          <w:szCs w:val="32"/>
          <w:highlight w:val="none"/>
          <w:lang w:val="en-US" w:eastAsia="zh-CN" w:bidi="ar"/>
        </w:rPr>
        <w:t>十一、康复大学实现本科招生，岛城优质高等教育资源进一步扩大，高等教育校地融合发展实现新突破</w:t>
      </w:r>
    </w:p>
    <w:p w14:paraId="1878643F">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康复大学启动本科招生，我市再添一所高水平大学。推进在青高校50个产教融合示范学科（专业）建设，对接“10+1”创新型产业体系，本地转化科技成果数量1756项。高等教育校地融合服务中心正式运行，汇集在青高校及高等教育机构科技成果1万余项，教育服务地方经济社会发展能力进一步提升。</w:t>
      </w:r>
    </w:p>
    <w:p w14:paraId="7DDEBCFA">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方正黑体_GBK" w:hAnsi="方正黑体_GBK" w:eastAsia="方正黑体_GBK" w:cs="方正黑体_GBK"/>
          <w:color w:val="auto"/>
          <w:kern w:val="2"/>
          <w:sz w:val="32"/>
          <w:szCs w:val="32"/>
          <w:highlight w:val="none"/>
          <w:lang w:val="en-US" w:eastAsia="zh-CN" w:bidi="ar"/>
        </w:rPr>
      </w:pPr>
      <w:r>
        <w:rPr>
          <w:rFonts w:hint="eastAsia" w:ascii="黑体" w:hAnsi="黑体" w:eastAsia="黑体" w:cs="黑体"/>
          <w:color w:val="auto"/>
          <w:kern w:val="2"/>
          <w:sz w:val="32"/>
          <w:szCs w:val="32"/>
          <w:highlight w:val="none"/>
          <w:lang w:val="en-US" w:eastAsia="zh-CN" w:bidi="ar"/>
        </w:rPr>
        <w:t>十二、在全国率先实现人工智能课程、实验室“双普及”，学生人工智能素养提升再创佳绩</w:t>
      </w:r>
    </w:p>
    <w:p w14:paraId="7E922615">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Times New Roman" w:hAnsi="Times New Roman" w:eastAsia="华文仿宋" w:cs="Times New Roman"/>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建成929间人工智能实验室，实现人工智能课程、实验室“双普及”。数字资源年应用量超2亿人次，获省数据大赛数量质量“双第一”。培育智慧校园100所，推出数字赋能场景50个，数字化服务教育高质量发展能力充分释放，经验模式在全国推广。获全国信息奥赛35个联赛一等奖、308个省一等奖，位居全省第一，信息学拔尖创新人才培养取得新突破。</w:t>
      </w:r>
    </w:p>
    <w:p w14:paraId="44162DF1">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color w:val="auto"/>
          <w:kern w:val="2"/>
          <w:sz w:val="32"/>
          <w:szCs w:val="32"/>
          <w:highlight w:val="none"/>
          <w:lang w:val="en-US" w:eastAsia="zh-CN" w:bidi="ar"/>
        </w:rPr>
      </w:pPr>
      <w:r>
        <w:rPr>
          <w:rFonts w:hint="eastAsia" w:ascii="黑体" w:hAnsi="黑体" w:eastAsia="黑体" w:cs="黑体"/>
          <w:color w:val="auto"/>
          <w:kern w:val="2"/>
          <w:sz w:val="32"/>
          <w:szCs w:val="32"/>
          <w:highlight w:val="none"/>
          <w:lang w:val="en-US" w:eastAsia="zh-CN" w:bidi="ar"/>
        </w:rPr>
        <w:t>十三</w:t>
      </w:r>
      <w:r>
        <w:rPr>
          <w:rFonts w:hint="eastAsia" w:ascii="黑体" w:hAnsi="黑体" w:eastAsia="黑体" w:cs="黑体"/>
          <w:color w:val="auto"/>
          <w:kern w:val="2"/>
          <w:sz w:val="32"/>
          <w:szCs w:val="32"/>
          <w:highlight w:val="none"/>
          <w:lang w:val="en-US" w:eastAsia="zh" w:bidi="ar"/>
        </w:rPr>
        <w:t>、</w:t>
      </w:r>
      <w:r>
        <w:rPr>
          <w:rFonts w:hint="eastAsia" w:ascii="黑体" w:hAnsi="黑体" w:eastAsia="黑体" w:cs="黑体"/>
          <w:color w:val="auto"/>
          <w:kern w:val="2"/>
          <w:sz w:val="32"/>
          <w:szCs w:val="32"/>
          <w:highlight w:val="none"/>
          <w:lang w:val="en-US" w:eastAsia="zh-CN" w:bidi="ar"/>
        </w:rPr>
        <w:t>全市中小学食堂100%实现自主经营，</w:t>
      </w:r>
      <w:r>
        <w:rPr>
          <w:rFonts w:hint="eastAsia" w:ascii="黑体" w:hAnsi="黑体" w:eastAsia="黑体" w:cs="黑体"/>
          <w:color w:val="auto"/>
          <w:kern w:val="2"/>
          <w:sz w:val="32"/>
          <w:szCs w:val="32"/>
          <w:highlight w:val="none"/>
          <w:lang w:val="en-US" w:eastAsia="zh" w:bidi="ar"/>
        </w:rPr>
        <w:t>学生</w:t>
      </w:r>
      <w:r>
        <w:rPr>
          <w:rFonts w:hint="eastAsia" w:ascii="黑体" w:hAnsi="黑体" w:eastAsia="黑体" w:cs="黑体"/>
          <w:color w:val="auto"/>
          <w:kern w:val="2"/>
          <w:sz w:val="32"/>
          <w:szCs w:val="32"/>
          <w:highlight w:val="none"/>
          <w:lang w:val="en-US" w:eastAsia="zh-CN" w:bidi="ar"/>
        </w:rPr>
        <w:t>吃得更营养健康放心</w:t>
      </w:r>
    </w:p>
    <w:p w14:paraId="572278BD">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深入开展中小学校园食品安全和膳食经费管理、教辅材料征订等专项整治，开展财务管理规范提升年活动，全市中小学食堂100%实现自主经营，210所学校食堂获评市星级食堂，81所学校获评山东省营养与健康学校，35所学校获评山东省营养健康食堂（餐厅）。</w:t>
      </w:r>
    </w:p>
    <w:p w14:paraId="4A494C2B">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方正黑体_GBK" w:hAnsi="方正黑体_GBK" w:eastAsia="方正黑体_GBK" w:cs="方正黑体_GBK"/>
          <w:color w:val="auto"/>
          <w:kern w:val="2"/>
          <w:sz w:val="32"/>
          <w:szCs w:val="32"/>
          <w:highlight w:val="none"/>
          <w:lang w:val="en-US" w:eastAsia="zh-CN" w:bidi="ar"/>
        </w:rPr>
      </w:pPr>
      <w:r>
        <w:rPr>
          <w:rFonts w:hint="eastAsia" w:ascii="黑体" w:hAnsi="黑体" w:eastAsia="黑体" w:cs="黑体"/>
          <w:color w:val="auto"/>
          <w:kern w:val="2"/>
          <w:sz w:val="32"/>
          <w:szCs w:val="32"/>
          <w:highlight w:val="none"/>
          <w:lang w:val="en-US" w:eastAsia="zh-CN" w:bidi="ar"/>
        </w:rPr>
        <w:t>十四、</w:t>
      </w:r>
      <w:r>
        <w:rPr>
          <w:rFonts w:hint="eastAsia" w:ascii="黑体" w:hAnsi="黑体" w:eastAsia="黑体" w:cs="黑体"/>
          <w:color w:val="auto"/>
          <w:kern w:val="2"/>
          <w:sz w:val="32"/>
          <w:szCs w:val="32"/>
          <w:highlight w:val="none"/>
          <w:lang w:val="en-US" w:eastAsia="zh" w:bidi="ar"/>
        </w:rPr>
        <w:t>全国教育人文交流工作现场会在青举行，</w:t>
      </w:r>
      <w:r>
        <w:rPr>
          <w:rFonts w:hint="eastAsia" w:ascii="黑体" w:hAnsi="黑体" w:eastAsia="黑体" w:cs="黑体"/>
          <w:color w:val="auto"/>
          <w:kern w:val="2"/>
          <w:sz w:val="32"/>
          <w:szCs w:val="32"/>
          <w:highlight w:val="none"/>
          <w:lang w:val="en-US" w:eastAsia="zh-CN" w:bidi="ar"/>
        </w:rPr>
        <w:t>“上合教育”入选教育部中国教育对外开放品牌，青岛教育对外开放水平进一步提高</w:t>
      </w:r>
    </w:p>
    <w:p w14:paraId="3684EDAD">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Times New Roman" w:hAnsi="Times New Roman" w:eastAsia="华文仿宋" w:cs="Times New Roman"/>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教育部中外人文交流工作现场会暨推进会在青举办，推出我市中外人文交流特色学校建设、互联网背景下中外人文交流实践等17项研究成果，80所中小学被认定为中外人文交流特色学校，我市做典型发言。上合教育高地建设全面启动，筹建北京外国语大学附属青岛上合学校，打造青岛“上合教育”品牌。</w:t>
      </w:r>
    </w:p>
    <w:p w14:paraId="2166E542">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color w:val="auto"/>
          <w:kern w:val="2"/>
          <w:sz w:val="32"/>
          <w:szCs w:val="32"/>
          <w:highlight w:val="none"/>
          <w:lang w:val="en-US" w:eastAsia="zh-CN" w:bidi="ar"/>
        </w:rPr>
      </w:pPr>
      <w:r>
        <w:rPr>
          <w:rFonts w:hint="eastAsia" w:ascii="黑体" w:hAnsi="黑体" w:eastAsia="黑体" w:cs="黑体"/>
          <w:color w:val="auto"/>
          <w:kern w:val="2"/>
          <w:sz w:val="32"/>
          <w:szCs w:val="32"/>
          <w:highlight w:val="none"/>
          <w:lang w:val="en-US" w:eastAsia="zh-CN" w:bidi="ar"/>
        </w:rPr>
        <w:t>十五、创新开展幼儿园长幼随学、托育、托管服务，系统推出家庭教育课程体系，全力满足家长多样化需求</w:t>
      </w:r>
    </w:p>
    <w:p w14:paraId="75A7FF08">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firstLine="60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0"/>
          <w:szCs w:val="30"/>
          <w:highlight w:val="none"/>
          <w:lang w:val="en-US" w:eastAsia="zh-CN" w:bidi="ar"/>
        </w:rPr>
        <w:t>创新实施“长幼随学”政策，惠及幼儿2000人，满足多孩家庭便利接送需求。265所幼儿园开设托班，提供托位超过1.3万个，全力满足幼儿家庭的托育需求。近600所幼儿园开展延时托管服务，满足双职工家庭幼儿离园后照管需求。举办校家社协同育人宣传月“十百千万”系列活动，通过家庭教育指导课、“四进一见”等方式提供专业化家庭教育指导，服务家长400余万人次，助力岛城家长为孩子健康成长营造良好的家庭环境。</w:t>
      </w:r>
    </w:p>
    <w:sectPr>
      <w:footerReference r:id="rId3"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902A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0DB873A">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14:paraId="30DB873A">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wY2ZjNzAzOTQ3ZWRhNDcyZjVlMTFmYzVhOWE4MjIifQ=="/>
  </w:docVars>
  <w:rsids>
    <w:rsidRoot w:val="EF7B909C"/>
    <w:rsid w:val="0FFF8465"/>
    <w:rsid w:val="1ED91353"/>
    <w:rsid w:val="1FEBF201"/>
    <w:rsid w:val="27D7FA16"/>
    <w:rsid w:val="28FFC892"/>
    <w:rsid w:val="2F763EB0"/>
    <w:rsid w:val="3056342E"/>
    <w:rsid w:val="37FFA8D6"/>
    <w:rsid w:val="3ECE1FC6"/>
    <w:rsid w:val="3F0646B1"/>
    <w:rsid w:val="437B6009"/>
    <w:rsid w:val="47EF2934"/>
    <w:rsid w:val="4F760BD2"/>
    <w:rsid w:val="4FF9D486"/>
    <w:rsid w:val="4FFAF7D1"/>
    <w:rsid w:val="5B7F81B5"/>
    <w:rsid w:val="5CA91124"/>
    <w:rsid w:val="5DBFAEC7"/>
    <w:rsid w:val="5FD5A041"/>
    <w:rsid w:val="5FF7B4B9"/>
    <w:rsid w:val="697FECDD"/>
    <w:rsid w:val="6B785E7B"/>
    <w:rsid w:val="6F7F756B"/>
    <w:rsid w:val="6FDDEB4E"/>
    <w:rsid w:val="77AED09B"/>
    <w:rsid w:val="799F0FF2"/>
    <w:rsid w:val="79FDDCA9"/>
    <w:rsid w:val="7DBFE211"/>
    <w:rsid w:val="7DEB6FE2"/>
    <w:rsid w:val="7F779176"/>
    <w:rsid w:val="7F9B0A43"/>
    <w:rsid w:val="7F9F8866"/>
    <w:rsid w:val="7FD3F21A"/>
    <w:rsid w:val="7FDF7F40"/>
    <w:rsid w:val="7FE321BE"/>
    <w:rsid w:val="7FF5CC04"/>
    <w:rsid w:val="7FFE323E"/>
    <w:rsid w:val="AFE38B60"/>
    <w:rsid w:val="B2FFB2CD"/>
    <w:rsid w:val="BDF9AE95"/>
    <w:rsid w:val="BFDB9FEF"/>
    <w:rsid w:val="D968AAE4"/>
    <w:rsid w:val="DD7F2125"/>
    <w:rsid w:val="DF7FCF74"/>
    <w:rsid w:val="DFEC69FF"/>
    <w:rsid w:val="E73FADD7"/>
    <w:rsid w:val="EBBEF132"/>
    <w:rsid w:val="EDBFF13D"/>
    <w:rsid w:val="EEBF4F63"/>
    <w:rsid w:val="EF7B909C"/>
    <w:rsid w:val="F368DCAE"/>
    <w:rsid w:val="F4CFC8BC"/>
    <w:rsid w:val="F687A6F8"/>
    <w:rsid w:val="FA75AF82"/>
    <w:rsid w:val="FBF70759"/>
    <w:rsid w:val="FBFF1B91"/>
    <w:rsid w:val="FDDFAC69"/>
    <w:rsid w:val="FDFFE054"/>
    <w:rsid w:val="FE6F3A51"/>
    <w:rsid w:val="FF3F3A5B"/>
    <w:rsid w:val="FF6D03A5"/>
    <w:rsid w:val="FF7BDFDA"/>
    <w:rsid w:val="FF7F9313"/>
    <w:rsid w:val="FFB54499"/>
    <w:rsid w:val="FFFB33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2">
    <w:name w:val="Body Text"/>
    <w:basedOn w:val="1"/>
    <w:next w:val="1"/>
    <w:qFormat/>
    <w:uiPriority w:val="0"/>
    <w:pPr>
      <w:spacing w:after="120"/>
      <w:jc w:val="both"/>
    </w:pPr>
    <w:rPr>
      <w:szCs w:val="24"/>
    </w:rPr>
  </w:style>
  <w:style w:type="paragraph" w:styleId="3">
    <w:name w:val="footer"/>
    <w:basedOn w:val="1"/>
    <w:qFormat/>
    <w:uiPriority w:val="0"/>
    <w:pPr>
      <w:tabs>
        <w:tab w:val="center" w:pos="4153"/>
        <w:tab w:val="right" w:pos="8306"/>
      </w:tabs>
      <w:snapToGrid w:val="0"/>
      <w:jc w:val="left"/>
    </w:pPr>
    <w:rPr>
      <w:sz w:val="18"/>
    </w:rPr>
  </w:style>
  <w:style w:type="character" w:styleId="6">
    <w:name w:val="Emphasis"/>
    <w:basedOn w:val="5"/>
    <w:qFormat/>
    <w:uiPriority w:val="0"/>
    <w:rPr>
      <w: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3216</Words>
  <Characters>3324</Characters>
  <Lines>0</Lines>
  <Paragraphs>0</Paragraphs>
  <TotalTime>21.6666666666667</TotalTime>
  <ScaleCrop>false</ScaleCrop>
  <LinksUpToDate>false</LinksUpToDate>
  <CharactersWithSpaces>3324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2025-01-02T07:23:00Z</dcterms:created>
  <dc:creator>suma</dc:creator>
  <cp:lastModifiedBy>user</cp:lastModifiedBy>
  <cp:lastPrinted>2025-01-01T08:30:05Z</cp:lastPrinted>
  <dcterms:modified xsi:type="dcterms:W3CDTF">2025-01-02T02:43:15Z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7B859A7640424CD08A7BB6578E0C2719_13</vt:lpwstr>
  </property>
</Properties>
</file>