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6AFB4D">
      <w:pPr>
        <w:keepNext w:val="0"/>
        <w:keepLines w:val="0"/>
        <w:pageBreakBefore w:val="0"/>
        <w:widowControl/>
        <w:kinsoku/>
        <w:wordWrap/>
        <w:overflowPunct/>
        <w:topLinePunct w:val="0"/>
        <w:autoSpaceDE/>
        <w:autoSpaceDN/>
        <w:bidi w:val="0"/>
        <w:adjustRightInd w:val="0"/>
        <w:snapToGrid w:val="0"/>
        <w:spacing w:after="157" w:afterLines="50" w:line="520" w:lineRule="exact"/>
        <w:jc w:val="left"/>
        <w:textAlignment w:val="auto"/>
        <w:rPr>
          <w:rFonts w:hint="default" w:ascii="方正小标宋_GBK" w:hAnsi="方正小标宋_GBK" w:eastAsia="方正小标宋_GBK" w:cs="方正小标宋_GBK"/>
          <w:sz w:val="32"/>
          <w:szCs w:val="32"/>
          <w:lang w:val="en-US" w:eastAsia="zh-CN"/>
        </w:rPr>
      </w:pPr>
      <w:r>
        <w:rPr>
          <w:rFonts w:hint="eastAsia" w:ascii="黑体" w:hAnsi="黑体" w:eastAsia="黑体" w:cs="黑体"/>
          <w:b w:val="0"/>
          <w:i w:val="0"/>
          <w:caps w:val="0"/>
          <w:color w:val="auto"/>
          <w:spacing w:val="0"/>
          <w:sz w:val="32"/>
          <w:szCs w:val="32"/>
          <w:shd w:val="clear" w:color="auto" w:fill="FFFFFF"/>
          <w:lang w:eastAsia="zh-CN"/>
        </w:rPr>
        <w:t>附件</w:t>
      </w:r>
    </w:p>
    <w:p w14:paraId="61524E57">
      <w:pPr>
        <w:keepNext w:val="0"/>
        <w:keepLines w:val="0"/>
        <w:pageBreakBefore w:val="0"/>
        <w:widowControl/>
        <w:kinsoku/>
        <w:wordWrap/>
        <w:overflowPunct/>
        <w:topLinePunct w:val="0"/>
        <w:autoSpaceDE/>
        <w:autoSpaceDN/>
        <w:bidi w:val="0"/>
        <w:adjustRightInd w:val="0"/>
        <w:snapToGrid w:val="0"/>
        <w:spacing w:after="157" w:afterLines="50" w:line="520" w:lineRule="exact"/>
        <w:jc w:val="center"/>
        <w:textAlignment w:val="auto"/>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sz w:val="44"/>
          <w:szCs w:val="44"/>
          <w:lang w:eastAsia="zh-CN"/>
        </w:rPr>
        <w:t>青岛市教育局</w:t>
      </w:r>
      <w:r>
        <w:rPr>
          <w:rFonts w:hint="eastAsia" w:ascii="方正小标宋简体" w:hAnsi="方正小标宋简体" w:eastAsia="方正小标宋简体" w:cs="方正小标宋简体"/>
          <w:color w:val="000000"/>
          <w:sz w:val="44"/>
          <w:szCs w:val="44"/>
          <w:lang w:val="en-US" w:eastAsia="zh-CN"/>
        </w:rPr>
        <w:t>2025</w:t>
      </w:r>
      <w:r>
        <w:rPr>
          <w:rFonts w:hint="eastAsia" w:ascii="方正小标宋简体" w:hAnsi="方正小标宋简体" w:eastAsia="方正小标宋简体" w:cs="方正小标宋简体"/>
          <w:color w:val="000000"/>
          <w:sz w:val="44"/>
          <w:szCs w:val="44"/>
        </w:rPr>
        <w:t>年普法工作计划</w:t>
      </w:r>
    </w:p>
    <w:tbl>
      <w:tblPr>
        <w:tblStyle w:val="6"/>
        <w:tblW w:w="14769" w:type="dxa"/>
        <w:jc w:val="center"/>
        <w:tblLayout w:type="fixed"/>
        <w:tblCellMar>
          <w:top w:w="115" w:type="dxa"/>
          <w:left w:w="118" w:type="dxa"/>
          <w:bottom w:w="0" w:type="dxa"/>
          <w:right w:w="155" w:type="dxa"/>
        </w:tblCellMar>
      </w:tblPr>
      <w:tblGrid>
        <w:gridCol w:w="989"/>
        <w:gridCol w:w="3356"/>
        <w:gridCol w:w="7014"/>
        <w:gridCol w:w="1600"/>
        <w:gridCol w:w="1810"/>
      </w:tblGrid>
      <w:tr w14:paraId="78DE47F1">
        <w:tblPrEx>
          <w:tblCellMar>
            <w:top w:w="115" w:type="dxa"/>
            <w:left w:w="118" w:type="dxa"/>
            <w:bottom w:w="0" w:type="dxa"/>
            <w:right w:w="155" w:type="dxa"/>
          </w:tblCellMar>
        </w:tblPrEx>
        <w:trPr>
          <w:trHeight w:val="539"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5FC2A12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微软雅黑" w:hAnsi="微软雅黑" w:eastAsia="微软雅黑" w:cs="微软雅黑"/>
                <w:b/>
                <w:bCs w:val="0"/>
                <w:color w:val="000000"/>
                <w:kern w:val="0"/>
                <w:sz w:val="32"/>
                <w:szCs w:val="32"/>
                <w:highlight w:val="none"/>
              </w:rPr>
            </w:pPr>
            <w:r>
              <w:rPr>
                <w:rFonts w:hint="eastAsia" w:ascii="仿宋_GB2312" w:hAnsi="Times New Roman" w:eastAsia="仿宋_GB2312" w:cs="宋体"/>
                <w:b/>
                <w:bCs w:val="0"/>
                <w:color w:val="000000"/>
                <w:kern w:val="0"/>
                <w:sz w:val="32"/>
                <w:szCs w:val="32"/>
                <w:highlight w:val="none"/>
              </w:rPr>
              <w:t>序号</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09E6FBA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微软雅黑" w:hAnsi="微软雅黑" w:eastAsia="微软雅黑" w:cs="微软雅黑"/>
                <w:b/>
                <w:bCs w:val="0"/>
                <w:color w:val="000000"/>
                <w:kern w:val="0"/>
                <w:sz w:val="32"/>
                <w:szCs w:val="32"/>
                <w:highlight w:val="none"/>
              </w:rPr>
            </w:pPr>
            <w:r>
              <w:rPr>
                <w:rFonts w:hint="eastAsia" w:ascii="仿宋_GB2312" w:hAnsi="Times New Roman" w:eastAsia="仿宋_GB2312" w:cs="宋体"/>
                <w:b/>
                <w:bCs w:val="0"/>
                <w:color w:val="000000"/>
                <w:kern w:val="0"/>
                <w:sz w:val="32"/>
                <w:szCs w:val="32"/>
                <w:highlight w:val="none"/>
              </w:rPr>
              <w:t>普法任务</w:t>
            </w:r>
          </w:p>
        </w:tc>
        <w:tc>
          <w:tcPr>
            <w:tcW w:w="7014" w:type="dxa"/>
            <w:tcBorders>
              <w:top w:val="single" w:color="000000" w:sz="2" w:space="0"/>
              <w:left w:val="single" w:color="000000" w:sz="2" w:space="0"/>
              <w:bottom w:val="single" w:color="auto" w:sz="4" w:space="0"/>
              <w:right w:val="single" w:color="000000" w:sz="2" w:space="0"/>
            </w:tcBorders>
            <w:noWrap w:val="0"/>
            <w:vAlign w:val="center"/>
          </w:tcPr>
          <w:p w14:paraId="7B26FDC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微软雅黑" w:hAnsi="微软雅黑" w:eastAsia="微软雅黑" w:cs="微软雅黑"/>
                <w:b/>
                <w:bCs w:val="0"/>
                <w:color w:val="000000"/>
                <w:kern w:val="0"/>
                <w:sz w:val="32"/>
                <w:szCs w:val="32"/>
                <w:highlight w:val="none"/>
              </w:rPr>
            </w:pPr>
            <w:r>
              <w:rPr>
                <w:rFonts w:hint="eastAsia" w:ascii="仿宋_GB2312" w:hAnsi="Times New Roman" w:eastAsia="仿宋_GB2312" w:cs="宋体"/>
                <w:b/>
                <w:bCs w:val="0"/>
                <w:color w:val="000000"/>
                <w:kern w:val="0"/>
                <w:sz w:val="32"/>
                <w:szCs w:val="32"/>
                <w:highlight w:val="none"/>
              </w:rPr>
              <w:t>具体措施</w:t>
            </w:r>
          </w:p>
        </w:tc>
        <w:tc>
          <w:tcPr>
            <w:tcW w:w="1600" w:type="dxa"/>
            <w:tcBorders>
              <w:top w:val="single" w:color="000000" w:sz="2" w:space="0"/>
              <w:left w:val="single" w:color="000000" w:sz="2" w:space="0"/>
              <w:bottom w:val="single" w:color="000000" w:sz="2" w:space="0"/>
              <w:right w:val="single" w:color="000000" w:sz="2" w:space="0"/>
            </w:tcBorders>
            <w:noWrap w:val="0"/>
            <w:vAlign w:val="center"/>
          </w:tcPr>
          <w:p w14:paraId="2E47631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微软雅黑" w:hAnsi="微软雅黑" w:eastAsia="微软雅黑" w:cs="微软雅黑"/>
                <w:b/>
                <w:bCs w:val="0"/>
                <w:color w:val="000000"/>
                <w:kern w:val="0"/>
                <w:sz w:val="32"/>
                <w:szCs w:val="32"/>
                <w:highlight w:val="none"/>
                <w:lang w:eastAsia="zh-CN"/>
              </w:rPr>
            </w:pPr>
            <w:r>
              <w:rPr>
                <w:rFonts w:hint="eastAsia" w:ascii="仿宋_GB2312" w:hAnsi="Times New Roman" w:eastAsia="仿宋_GB2312" w:cs="宋体"/>
                <w:b/>
                <w:bCs w:val="0"/>
                <w:color w:val="000000"/>
                <w:kern w:val="0"/>
                <w:sz w:val="32"/>
                <w:szCs w:val="32"/>
                <w:highlight w:val="none"/>
                <w:lang w:eastAsia="zh-CN"/>
              </w:rPr>
              <w:t>时间安排</w:t>
            </w:r>
          </w:p>
        </w:tc>
        <w:tc>
          <w:tcPr>
            <w:tcW w:w="1810" w:type="dxa"/>
            <w:tcBorders>
              <w:top w:val="single" w:color="000000" w:sz="2" w:space="0"/>
              <w:left w:val="single" w:color="000000" w:sz="2" w:space="0"/>
              <w:bottom w:val="single" w:color="auto" w:sz="4" w:space="0"/>
              <w:right w:val="single" w:color="000000" w:sz="2" w:space="0"/>
            </w:tcBorders>
            <w:noWrap w:val="0"/>
            <w:vAlign w:val="center"/>
          </w:tcPr>
          <w:p w14:paraId="5838717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微软雅黑" w:hAnsi="微软雅黑" w:eastAsia="微软雅黑" w:cs="微软雅黑"/>
                <w:b/>
                <w:bCs w:val="0"/>
                <w:color w:val="000000"/>
                <w:kern w:val="0"/>
                <w:sz w:val="32"/>
                <w:szCs w:val="32"/>
                <w:highlight w:val="none"/>
                <w:lang w:eastAsia="zh-CN"/>
              </w:rPr>
            </w:pPr>
            <w:r>
              <w:rPr>
                <w:rFonts w:hint="eastAsia" w:ascii="仿宋_GB2312" w:hAnsi="Times New Roman" w:eastAsia="仿宋_GB2312" w:cs="宋体"/>
                <w:b/>
                <w:bCs w:val="0"/>
                <w:color w:val="000000"/>
                <w:kern w:val="0"/>
                <w:sz w:val="32"/>
                <w:szCs w:val="32"/>
                <w:highlight w:val="none"/>
                <w:lang w:eastAsia="zh-CN"/>
              </w:rPr>
              <w:t>责任处室</w:t>
            </w:r>
          </w:p>
        </w:tc>
      </w:tr>
      <w:tr w14:paraId="2314046B">
        <w:tblPrEx>
          <w:tblCellMar>
            <w:top w:w="115" w:type="dxa"/>
            <w:left w:w="118" w:type="dxa"/>
            <w:bottom w:w="0" w:type="dxa"/>
            <w:right w:w="155" w:type="dxa"/>
          </w:tblCellMar>
        </w:tblPrEx>
        <w:trPr>
          <w:trHeight w:val="644" w:hRule="atLeast"/>
          <w:tblHeader/>
          <w:jc w:val="center"/>
        </w:trPr>
        <w:tc>
          <w:tcPr>
            <w:tcW w:w="989" w:type="dxa"/>
            <w:vMerge w:val="restart"/>
            <w:tcBorders>
              <w:top w:val="single" w:color="000000" w:sz="2" w:space="0"/>
              <w:left w:val="single" w:color="000000" w:sz="2" w:space="0"/>
              <w:right w:val="single" w:color="000000" w:sz="2" w:space="0"/>
            </w:tcBorders>
            <w:noWrap w:val="0"/>
            <w:vAlign w:val="center"/>
          </w:tcPr>
          <w:p w14:paraId="748BE28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default" w:ascii="仿宋_GB2312" w:hAnsi="Times New Roman" w:eastAsia="仿宋_GB2312" w:cs="宋体"/>
                <w:bCs/>
                <w:color w:val="000000"/>
                <w:kern w:val="0"/>
                <w:sz w:val="28"/>
                <w:szCs w:val="28"/>
                <w:highlight w:val="none"/>
                <w:lang w:val="en-US" w:eastAsia="zh-CN"/>
              </w:rPr>
              <w:t>1</w:t>
            </w:r>
          </w:p>
        </w:tc>
        <w:tc>
          <w:tcPr>
            <w:tcW w:w="3356" w:type="dxa"/>
            <w:tcBorders>
              <w:top w:val="single" w:color="000000" w:sz="2" w:space="0"/>
              <w:left w:val="single" w:color="000000" w:sz="2" w:space="0"/>
              <w:bottom w:val="single" w:color="auto" w:sz="4" w:space="0"/>
              <w:right w:val="single" w:color="000000" w:sz="2" w:space="0"/>
            </w:tcBorders>
            <w:shd w:val="clear" w:color="auto" w:fill="auto"/>
            <w:noWrap w:val="0"/>
            <w:vAlign w:val="center"/>
          </w:tcPr>
          <w:p w14:paraId="5B3F864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信访</w:t>
            </w:r>
            <w:r>
              <w:rPr>
                <w:rFonts w:hint="eastAsia" w:ascii="仿宋_GB2312" w:hAnsi="仿宋_GB2312" w:eastAsia="仿宋_GB2312" w:cs="仿宋_GB2312"/>
                <w:color w:val="auto"/>
                <w:kern w:val="0"/>
                <w:sz w:val="28"/>
                <w:szCs w:val="28"/>
                <w:highlight w:val="none"/>
                <w:lang w:eastAsia="zh-CN"/>
              </w:rPr>
              <w:t>工作条例</w:t>
            </w:r>
          </w:p>
        </w:tc>
        <w:tc>
          <w:tcPr>
            <w:tcW w:w="7014" w:type="dxa"/>
            <w:vMerge w:val="restart"/>
            <w:tcBorders>
              <w:top w:val="single" w:color="auto" w:sz="4" w:space="0"/>
              <w:left w:val="single" w:color="000000" w:sz="2" w:space="0"/>
              <w:right w:val="single" w:color="000000" w:sz="2" w:space="0"/>
            </w:tcBorders>
            <w:shd w:val="clear" w:color="auto" w:fill="auto"/>
            <w:noWrap w:val="0"/>
            <w:vAlign w:val="center"/>
          </w:tcPr>
          <w:p w14:paraId="565F4BF5">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lang w:eastAsia="zh-CN"/>
              </w:rPr>
              <w:t>开展信访工作人员专题培训，提升信访工作人员服务质量和专业能力。</w:t>
            </w:r>
          </w:p>
          <w:p w14:paraId="7F2E97B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2.结合信访</w:t>
            </w:r>
            <w:r>
              <w:rPr>
                <w:rFonts w:hint="eastAsia" w:ascii="仿宋_GB2312" w:hAnsi="仿宋_GB2312" w:eastAsia="仿宋_GB2312" w:cs="仿宋_GB2312"/>
                <w:color w:val="auto"/>
                <w:kern w:val="0"/>
                <w:sz w:val="28"/>
                <w:szCs w:val="28"/>
                <w:highlight w:val="none"/>
                <w:lang w:eastAsia="zh-CN"/>
              </w:rPr>
              <w:t>常态化工作推进，开展信访法律法规宣传。</w:t>
            </w:r>
          </w:p>
        </w:tc>
        <w:tc>
          <w:tcPr>
            <w:tcW w:w="1600" w:type="dxa"/>
            <w:vMerge w:val="restart"/>
            <w:tcBorders>
              <w:top w:val="single" w:color="000000" w:sz="2" w:space="0"/>
              <w:left w:val="single" w:color="000000" w:sz="2" w:space="0"/>
              <w:right w:val="single" w:color="auto" w:sz="4" w:space="0"/>
            </w:tcBorders>
            <w:shd w:val="clear" w:color="auto" w:fill="auto"/>
            <w:noWrap w:val="0"/>
            <w:vAlign w:val="center"/>
          </w:tcPr>
          <w:p w14:paraId="43BE015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10月底前</w:t>
            </w:r>
          </w:p>
        </w:tc>
        <w:tc>
          <w:tcPr>
            <w:tcW w:w="1810" w:type="dxa"/>
            <w:vMerge w:val="restart"/>
            <w:tcBorders>
              <w:top w:val="single" w:color="auto" w:sz="4" w:space="0"/>
              <w:left w:val="single" w:color="auto" w:sz="4" w:space="0"/>
              <w:right w:val="single" w:color="auto" w:sz="4" w:space="0"/>
            </w:tcBorders>
            <w:noWrap w:val="0"/>
            <w:vAlign w:val="center"/>
          </w:tcPr>
          <w:p w14:paraId="5ECEA32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办公室</w:t>
            </w:r>
          </w:p>
        </w:tc>
      </w:tr>
      <w:tr w14:paraId="24B25AF1">
        <w:tblPrEx>
          <w:tblCellMar>
            <w:top w:w="115" w:type="dxa"/>
            <w:left w:w="118" w:type="dxa"/>
            <w:bottom w:w="0" w:type="dxa"/>
            <w:right w:w="155" w:type="dxa"/>
          </w:tblCellMar>
        </w:tblPrEx>
        <w:trPr>
          <w:trHeight w:val="646" w:hRule="atLeast"/>
          <w:tblHeader/>
          <w:jc w:val="center"/>
        </w:trPr>
        <w:tc>
          <w:tcPr>
            <w:tcW w:w="989" w:type="dxa"/>
            <w:vMerge w:val="continue"/>
            <w:tcBorders>
              <w:left w:val="single" w:color="000000" w:sz="2" w:space="0"/>
              <w:bottom w:val="single" w:color="000000" w:sz="2" w:space="0"/>
              <w:right w:val="single" w:color="000000" w:sz="2" w:space="0"/>
            </w:tcBorders>
            <w:noWrap w:val="0"/>
            <w:vAlign w:val="center"/>
          </w:tcPr>
          <w:p w14:paraId="3DD0404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rPr>
            </w:pPr>
          </w:p>
        </w:tc>
        <w:tc>
          <w:tcPr>
            <w:tcW w:w="3356"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0005C2F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山东省信访事项复查复核工作规则</w:t>
            </w:r>
          </w:p>
        </w:tc>
        <w:tc>
          <w:tcPr>
            <w:tcW w:w="7014" w:type="dxa"/>
            <w:vMerge w:val="continue"/>
            <w:tcBorders>
              <w:left w:val="single" w:color="000000" w:sz="2" w:space="0"/>
              <w:bottom w:val="single" w:color="000000" w:sz="2" w:space="0"/>
              <w:right w:val="single" w:color="000000" w:sz="2" w:space="0"/>
            </w:tcBorders>
            <w:shd w:val="clear" w:color="auto" w:fill="auto"/>
            <w:noWrap w:val="0"/>
            <w:vAlign w:val="center"/>
          </w:tcPr>
          <w:p w14:paraId="7B00356A">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eastAsia="zh-CN"/>
              </w:rPr>
            </w:pPr>
          </w:p>
        </w:tc>
        <w:tc>
          <w:tcPr>
            <w:tcW w:w="1600" w:type="dxa"/>
            <w:vMerge w:val="continue"/>
            <w:tcBorders>
              <w:left w:val="single" w:color="000000" w:sz="2" w:space="0"/>
              <w:bottom w:val="single" w:color="000000" w:sz="2" w:space="0"/>
              <w:right w:val="single" w:color="auto" w:sz="4" w:space="0"/>
            </w:tcBorders>
            <w:shd w:val="clear" w:color="auto" w:fill="auto"/>
            <w:noWrap w:val="0"/>
            <w:vAlign w:val="center"/>
          </w:tcPr>
          <w:p w14:paraId="22E4841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bottom w:val="single" w:color="auto" w:sz="4" w:space="0"/>
              <w:right w:val="single" w:color="auto" w:sz="4" w:space="0"/>
            </w:tcBorders>
            <w:noWrap w:val="0"/>
            <w:vAlign w:val="center"/>
          </w:tcPr>
          <w:p w14:paraId="646C08A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r>
      <w:tr w14:paraId="67611ECF">
        <w:tblPrEx>
          <w:tblCellMar>
            <w:top w:w="115" w:type="dxa"/>
            <w:left w:w="118" w:type="dxa"/>
            <w:bottom w:w="0" w:type="dxa"/>
            <w:right w:w="155" w:type="dxa"/>
          </w:tblCellMar>
        </w:tblPrEx>
        <w:trPr>
          <w:trHeight w:val="857"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552DAB7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eastAsia" w:ascii="仿宋_GB2312" w:hAnsi="Times New Roman" w:eastAsia="仿宋_GB2312" w:cs="宋体"/>
                <w:bCs/>
                <w:color w:val="000000"/>
                <w:kern w:val="0"/>
                <w:sz w:val="28"/>
                <w:szCs w:val="28"/>
                <w:highlight w:val="none"/>
                <w:lang w:val="en-US" w:eastAsia="zh-CN"/>
              </w:rPr>
              <w:t>2</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01367C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民法典</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03A2C03D">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组织开展全市教育系统第五个“民法典宣传月”活动，强化氛围营造，通过丰富多彩的活动，强化干部师生民法典对民法典学习掌握，提升维权意识。</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1D2B95B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5月</w:t>
            </w:r>
          </w:p>
        </w:tc>
        <w:tc>
          <w:tcPr>
            <w:tcW w:w="1810" w:type="dxa"/>
            <w:vMerge w:val="restart"/>
            <w:tcBorders>
              <w:top w:val="single" w:color="auto" w:sz="4" w:space="0"/>
              <w:left w:val="single" w:color="auto" w:sz="4" w:space="0"/>
              <w:right w:val="single" w:color="auto" w:sz="4" w:space="0"/>
            </w:tcBorders>
            <w:noWrap w:val="0"/>
            <w:vAlign w:val="center"/>
          </w:tcPr>
          <w:p w14:paraId="5690125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eastAsia="zh-CN"/>
              </w:rPr>
              <w:t>政策法规处</w:t>
            </w:r>
          </w:p>
        </w:tc>
      </w:tr>
      <w:tr w14:paraId="6F9B94FE">
        <w:tblPrEx>
          <w:tblCellMar>
            <w:top w:w="115" w:type="dxa"/>
            <w:left w:w="118" w:type="dxa"/>
            <w:bottom w:w="0" w:type="dxa"/>
            <w:right w:w="155" w:type="dxa"/>
          </w:tblCellMar>
        </w:tblPrEx>
        <w:trPr>
          <w:trHeight w:val="1615"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C872EA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3</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765EAB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rPr>
              <w:t>宪法</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5370F34F">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lang w:eastAsia="zh-CN"/>
              </w:rPr>
              <w:t>组织“学宪法 讲宪法”系列活动，</w:t>
            </w:r>
            <w:r>
              <w:rPr>
                <w:rFonts w:hint="eastAsia" w:ascii="仿宋_GB2312" w:hAnsi="仿宋_GB2312" w:eastAsia="仿宋_GB2312" w:cs="仿宋_GB2312"/>
                <w:color w:val="auto"/>
                <w:kern w:val="0"/>
                <w:sz w:val="28"/>
                <w:szCs w:val="28"/>
                <w:highlight w:val="none"/>
                <w:lang w:val="en-US" w:eastAsia="zh-CN"/>
              </w:rPr>
              <w:t>通过演讲比赛、素养竞赛、微视频大赛、模拟法庭大赛等丰富多彩的活动，提升学生宪法法治意识</w:t>
            </w:r>
            <w:r>
              <w:rPr>
                <w:rFonts w:hint="eastAsia" w:ascii="仿宋_GB2312" w:hAnsi="仿宋_GB2312" w:eastAsia="仿宋_GB2312" w:cs="仿宋_GB2312"/>
                <w:color w:val="auto"/>
                <w:kern w:val="0"/>
                <w:sz w:val="28"/>
                <w:szCs w:val="28"/>
                <w:highlight w:val="none"/>
                <w:lang w:eastAsia="zh-CN"/>
              </w:rPr>
              <w:t>。</w:t>
            </w:r>
          </w:p>
          <w:p w14:paraId="22C4CD3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2.举办全市中小学生</w:t>
            </w:r>
            <w:r>
              <w:rPr>
                <w:rFonts w:hint="eastAsia" w:ascii="仿宋_GB2312" w:hAnsi="仿宋_GB2312" w:eastAsia="仿宋_GB2312" w:cs="仿宋_GB2312"/>
                <w:color w:val="auto"/>
                <w:kern w:val="0"/>
                <w:sz w:val="28"/>
                <w:szCs w:val="28"/>
                <w:highlight w:val="none"/>
                <w:lang w:eastAsia="zh-CN"/>
              </w:rPr>
              <w:t>宪法学习宣传教育月暨第六届校园法治文化节活动，加强对青少年学生的宪法法治教育。</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67220D1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eastAsia="zh-CN"/>
              </w:rPr>
              <w:t>6月-12月</w:t>
            </w:r>
          </w:p>
        </w:tc>
        <w:tc>
          <w:tcPr>
            <w:tcW w:w="1810" w:type="dxa"/>
            <w:vMerge w:val="continue"/>
            <w:tcBorders>
              <w:left w:val="single" w:color="auto" w:sz="4" w:space="0"/>
              <w:bottom w:val="single" w:color="auto" w:sz="4" w:space="0"/>
              <w:right w:val="single" w:color="auto" w:sz="4" w:space="0"/>
            </w:tcBorders>
            <w:shd w:val="clear" w:color="auto" w:fill="auto"/>
            <w:noWrap w:val="0"/>
            <w:vAlign w:val="center"/>
          </w:tcPr>
          <w:p w14:paraId="72A8265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p>
        </w:tc>
      </w:tr>
      <w:tr w14:paraId="5B546ACE">
        <w:tblPrEx>
          <w:tblCellMar>
            <w:top w:w="115" w:type="dxa"/>
            <w:left w:w="118" w:type="dxa"/>
            <w:bottom w:w="0" w:type="dxa"/>
            <w:right w:w="155" w:type="dxa"/>
          </w:tblCellMar>
        </w:tblPrEx>
        <w:trPr>
          <w:trHeight w:val="2355"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16BDF09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eastAsia" w:ascii="仿宋_GB2312" w:hAnsi="Times New Roman" w:eastAsia="仿宋_GB2312" w:cs="宋体"/>
                <w:bCs/>
                <w:color w:val="000000"/>
                <w:kern w:val="0"/>
                <w:sz w:val="28"/>
                <w:szCs w:val="28"/>
                <w:highlight w:val="none"/>
                <w:lang w:val="en-US" w:eastAsia="zh-CN"/>
              </w:rPr>
              <w:t>4</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938239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学前教育法</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0BDDAF69">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1.扎实组织系统学习。将学前教育法作为教育行政部门和幼儿园党组织理论学习中心组学习、“三会一课”等的重要内容，纳入园长教师培训的必修课程，采取专题讲座、座谈研讨等多种方式开展学习。</w:t>
            </w:r>
          </w:p>
          <w:p w14:paraId="15AA1CFA">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2.大力开展社会宣传。结合2025年全国学前教育宣传月活动，做好学前教育法社会宣传工作，通过家长课堂、园家社共建、媒体宣传等途径做好面向家长的宣传。</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4A92243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5月-12月</w:t>
            </w:r>
          </w:p>
        </w:tc>
        <w:tc>
          <w:tcPr>
            <w:tcW w:w="1810" w:type="dxa"/>
            <w:tcBorders>
              <w:top w:val="single" w:color="auto" w:sz="4" w:space="0"/>
              <w:left w:val="single" w:color="auto" w:sz="4" w:space="0"/>
              <w:bottom w:val="single" w:color="auto" w:sz="4" w:space="0"/>
              <w:right w:val="single" w:color="auto" w:sz="4" w:space="0"/>
            </w:tcBorders>
            <w:noWrap w:val="0"/>
            <w:vAlign w:val="center"/>
          </w:tcPr>
          <w:p w14:paraId="637D7EB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学前教育处</w:t>
            </w:r>
          </w:p>
        </w:tc>
      </w:tr>
      <w:tr w14:paraId="0281BCB2">
        <w:tblPrEx>
          <w:tblCellMar>
            <w:top w:w="115" w:type="dxa"/>
            <w:left w:w="118" w:type="dxa"/>
            <w:bottom w:w="0" w:type="dxa"/>
            <w:right w:w="155" w:type="dxa"/>
          </w:tblCellMar>
        </w:tblPrEx>
        <w:trPr>
          <w:trHeight w:val="640"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2B62F95F">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eastAsia" w:ascii="仿宋_GB2312" w:hAnsi="Times New Roman" w:eastAsia="仿宋_GB2312" w:cs="宋体"/>
                <w:bCs/>
                <w:color w:val="000000"/>
                <w:kern w:val="0"/>
                <w:sz w:val="28"/>
                <w:szCs w:val="28"/>
                <w:highlight w:val="none"/>
                <w:lang w:val="en-US" w:eastAsia="zh-CN"/>
              </w:rPr>
              <w:t>5</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261C981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义务教育法</w:t>
            </w:r>
          </w:p>
        </w:tc>
        <w:tc>
          <w:tcPr>
            <w:tcW w:w="7014" w:type="dxa"/>
            <w:vMerge w:val="restart"/>
            <w:tcBorders>
              <w:top w:val="single" w:color="000000" w:sz="2" w:space="0"/>
              <w:left w:val="single" w:color="000000" w:sz="2" w:space="0"/>
              <w:right w:val="single" w:color="000000" w:sz="2" w:space="0"/>
            </w:tcBorders>
            <w:noWrap w:val="0"/>
            <w:vAlign w:val="center"/>
          </w:tcPr>
          <w:p w14:paraId="1B94A1B7">
            <w:pPr>
              <w:keepNext w:val="0"/>
              <w:keepLines w:val="0"/>
              <w:pageBreakBefore w:val="0"/>
              <w:widowControl w:val="0"/>
              <w:kinsoku/>
              <w:wordWrap/>
              <w:overflowPunct/>
              <w:topLinePunct w:val="0"/>
              <w:autoSpaceDE/>
              <w:autoSpaceDN/>
              <w:bidi w:val="0"/>
              <w:adjustRightInd w:val="0"/>
              <w:snapToGrid w:val="0"/>
              <w:spacing w:line="240" w:lineRule="atLeast"/>
              <w:jc w:val="left"/>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结合义务教育招生等工作，通过召开招生工作会议，在官方网站、微信公众号等渠道向社会公布政策及问答，设立并公布义务教育招生咨询热线方式，宣传解读义务教育法、山东省义务教育条例。</w:t>
            </w:r>
          </w:p>
        </w:tc>
        <w:tc>
          <w:tcPr>
            <w:tcW w:w="1600" w:type="dxa"/>
            <w:vMerge w:val="restart"/>
            <w:tcBorders>
              <w:top w:val="single" w:color="000000" w:sz="2" w:space="0"/>
              <w:left w:val="single" w:color="000000" w:sz="2" w:space="0"/>
              <w:right w:val="single" w:color="000000" w:sz="2" w:space="0"/>
            </w:tcBorders>
            <w:noWrap w:val="0"/>
            <w:vAlign w:val="center"/>
          </w:tcPr>
          <w:p w14:paraId="4C35341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4月-7月</w:t>
            </w:r>
          </w:p>
        </w:tc>
        <w:tc>
          <w:tcPr>
            <w:tcW w:w="1810" w:type="dxa"/>
            <w:vMerge w:val="restart"/>
            <w:tcBorders>
              <w:top w:val="single" w:color="000000" w:sz="2" w:space="0"/>
              <w:left w:val="single" w:color="000000" w:sz="2" w:space="0"/>
              <w:right w:val="single" w:color="000000" w:sz="2" w:space="0"/>
            </w:tcBorders>
            <w:noWrap w:val="0"/>
            <w:vAlign w:val="center"/>
          </w:tcPr>
          <w:p w14:paraId="7488F96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基础教育处</w:t>
            </w:r>
          </w:p>
        </w:tc>
      </w:tr>
      <w:tr w14:paraId="699AAF48">
        <w:tblPrEx>
          <w:tblCellMar>
            <w:top w:w="115" w:type="dxa"/>
            <w:left w:w="118" w:type="dxa"/>
            <w:bottom w:w="0" w:type="dxa"/>
            <w:right w:w="155" w:type="dxa"/>
          </w:tblCellMar>
        </w:tblPrEx>
        <w:trPr>
          <w:trHeight w:val="567"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6892E491">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eastAsia" w:ascii="仿宋_GB2312" w:hAnsi="Times New Roman" w:eastAsia="仿宋_GB2312" w:cs="宋体"/>
                <w:bCs/>
                <w:color w:val="000000"/>
                <w:kern w:val="0"/>
                <w:sz w:val="28"/>
                <w:szCs w:val="28"/>
                <w:highlight w:val="none"/>
                <w:lang w:val="en-US" w:eastAsia="zh-CN"/>
              </w:rPr>
              <w:t>6</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30CA0313">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山东省义务教育条例</w:t>
            </w:r>
          </w:p>
        </w:tc>
        <w:tc>
          <w:tcPr>
            <w:tcW w:w="7014" w:type="dxa"/>
            <w:vMerge w:val="continue"/>
            <w:tcBorders>
              <w:left w:val="single" w:color="000000" w:sz="2" w:space="0"/>
              <w:bottom w:val="single" w:color="000000" w:sz="2" w:space="0"/>
              <w:right w:val="single" w:color="000000" w:sz="2" w:space="0"/>
            </w:tcBorders>
            <w:noWrap w:val="0"/>
            <w:vAlign w:val="center"/>
          </w:tcPr>
          <w:p w14:paraId="417CBF94">
            <w:pPr>
              <w:keepNext w:val="0"/>
              <w:keepLines w:val="0"/>
              <w:pageBreakBefore w:val="0"/>
              <w:widowControl/>
              <w:kinsoku/>
              <w:wordWrap/>
              <w:overflowPunct/>
              <w:topLinePunct w:val="0"/>
              <w:autoSpaceDE/>
              <w:autoSpaceDN/>
              <w:bidi w:val="0"/>
              <w:adjustRightInd w:val="0"/>
              <w:snapToGrid w:val="0"/>
              <w:spacing w:line="360" w:lineRule="exact"/>
              <w:jc w:val="both"/>
              <w:textAlignment w:val="auto"/>
              <w:rPr>
                <w:rFonts w:hint="eastAsia" w:ascii="仿宋_GB2312" w:hAnsi="仿宋_GB2312" w:eastAsia="仿宋_GB2312" w:cs="仿宋_GB2312"/>
                <w:color w:val="auto"/>
                <w:kern w:val="0"/>
                <w:sz w:val="28"/>
                <w:szCs w:val="28"/>
                <w:highlight w:val="none"/>
                <w:lang w:eastAsia="zh-CN"/>
              </w:rPr>
            </w:pPr>
          </w:p>
        </w:tc>
        <w:tc>
          <w:tcPr>
            <w:tcW w:w="1600" w:type="dxa"/>
            <w:vMerge w:val="continue"/>
            <w:tcBorders>
              <w:left w:val="single" w:color="000000" w:sz="2" w:space="0"/>
              <w:bottom w:val="single" w:color="000000" w:sz="2" w:space="0"/>
              <w:right w:val="single" w:color="000000" w:sz="2" w:space="0"/>
            </w:tcBorders>
            <w:noWrap w:val="0"/>
            <w:vAlign w:val="center"/>
          </w:tcPr>
          <w:p w14:paraId="0EF4DF2A">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kern w:val="0"/>
                <w:sz w:val="24"/>
                <w:szCs w:val="24"/>
                <w:highlight w:val="none"/>
                <w:lang w:val="en-US" w:eastAsia="zh-CN"/>
              </w:rPr>
            </w:pPr>
          </w:p>
        </w:tc>
        <w:tc>
          <w:tcPr>
            <w:tcW w:w="1810" w:type="dxa"/>
            <w:vMerge w:val="continue"/>
            <w:tcBorders>
              <w:left w:val="single" w:color="000000" w:sz="2" w:space="0"/>
              <w:bottom w:val="single" w:color="000000" w:sz="2" w:space="0"/>
              <w:right w:val="single" w:color="000000" w:sz="2" w:space="0"/>
            </w:tcBorders>
            <w:noWrap w:val="0"/>
            <w:vAlign w:val="center"/>
          </w:tcPr>
          <w:p w14:paraId="7F3578FA">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kern w:val="0"/>
                <w:sz w:val="24"/>
                <w:szCs w:val="24"/>
                <w:highlight w:val="none"/>
                <w:lang w:eastAsia="zh-CN"/>
              </w:rPr>
            </w:pPr>
          </w:p>
        </w:tc>
      </w:tr>
      <w:tr w14:paraId="1481B625">
        <w:tblPrEx>
          <w:tblCellMar>
            <w:top w:w="115" w:type="dxa"/>
            <w:left w:w="118" w:type="dxa"/>
            <w:bottom w:w="0" w:type="dxa"/>
            <w:right w:w="155" w:type="dxa"/>
          </w:tblCellMar>
        </w:tblPrEx>
        <w:trPr>
          <w:trHeight w:val="1132"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850A9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7</w:t>
            </w:r>
          </w:p>
        </w:tc>
        <w:tc>
          <w:tcPr>
            <w:tcW w:w="335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F6BD8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default" w:ascii="仿宋_GB2312" w:hAnsi="仿宋_GB2312" w:eastAsia="仿宋_GB2312" w:cs="仿宋_GB2312"/>
                <w:color w:val="auto"/>
                <w:kern w:val="0"/>
                <w:sz w:val="28"/>
                <w:szCs w:val="28"/>
                <w:highlight w:val="none"/>
                <w:lang w:val="en" w:eastAsia="zh-CN"/>
              </w:rPr>
              <w:t>职业教育法</w:t>
            </w:r>
          </w:p>
        </w:tc>
        <w:tc>
          <w:tcPr>
            <w:tcW w:w="7014"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7F0B96B5">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 w:eastAsia="zh-CN"/>
              </w:rPr>
            </w:pPr>
            <w:r>
              <w:rPr>
                <w:rFonts w:hint="eastAsia" w:ascii="仿宋_GB2312" w:hAnsi="仿宋_GB2312" w:eastAsia="仿宋_GB2312" w:cs="仿宋_GB2312"/>
                <w:color w:val="auto"/>
                <w:kern w:val="0"/>
                <w:sz w:val="28"/>
                <w:szCs w:val="28"/>
                <w:highlight w:val="none"/>
                <w:lang w:val="en-US" w:eastAsia="zh-CN"/>
              </w:rPr>
              <w:t>1.组织全市中职学校广泛开展职业教育法、山东省职业教育条例的学习、宣传活动，</w:t>
            </w:r>
            <w:r>
              <w:rPr>
                <w:rFonts w:hint="default" w:ascii="仿宋_GB2312" w:hAnsi="仿宋_GB2312" w:eastAsia="仿宋_GB2312" w:cs="仿宋_GB2312"/>
                <w:color w:val="auto"/>
                <w:kern w:val="0"/>
                <w:sz w:val="28"/>
                <w:szCs w:val="28"/>
                <w:highlight w:val="none"/>
                <w:lang w:val="en" w:eastAsia="zh-CN"/>
              </w:rPr>
              <w:t>将职业教育法学习</w:t>
            </w:r>
            <w:r>
              <w:rPr>
                <w:rFonts w:hint="eastAsia" w:ascii="仿宋_GB2312" w:hAnsi="仿宋_GB2312" w:eastAsia="仿宋_GB2312" w:cs="仿宋_GB2312"/>
                <w:color w:val="auto"/>
                <w:kern w:val="0"/>
                <w:sz w:val="28"/>
                <w:szCs w:val="28"/>
                <w:highlight w:val="none"/>
                <w:lang w:val="en" w:eastAsia="zh-CN"/>
              </w:rPr>
              <w:t>培训</w:t>
            </w:r>
            <w:r>
              <w:rPr>
                <w:rFonts w:hint="default" w:ascii="仿宋_GB2312" w:hAnsi="仿宋_GB2312" w:eastAsia="仿宋_GB2312" w:cs="仿宋_GB2312"/>
                <w:color w:val="auto"/>
                <w:kern w:val="0"/>
                <w:sz w:val="28"/>
                <w:szCs w:val="28"/>
                <w:highlight w:val="none"/>
                <w:lang w:val="en" w:eastAsia="zh-CN"/>
              </w:rPr>
              <w:t>作为校长培训、教师培训的重要内容</w:t>
            </w:r>
            <w:r>
              <w:rPr>
                <w:rFonts w:hint="eastAsia" w:ascii="仿宋_GB2312" w:hAnsi="仿宋_GB2312" w:eastAsia="仿宋_GB2312" w:cs="仿宋_GB2312"/>
                <w:color w:val="auto"/>
                <w:kern w:val="0"/>
                <w:sz w:val="28"/>
                <w:szCs w:val="28"/>
                <w:highlight w:val="none"/>
                <w:lang w:val="en" w:eastAsia="zh-CN"/>
              </w:rPr>
              <w:t>。</w:t>
            </w:r>
            <w:r>
              <w:rPr>
                <w:rFonts w:hint="default" w:ascii="仿宋_GB2312" w:hAnsi="仿宋_GB2312" w:eastAsia="仿宋_GB2312" w:cs="仿宋_GB2312"/>
                <w:color w:val="auto"/>
                <w:kern w:val="0"/>
                <w:sz w:val="28"/>
                <w:szCs w:val="28"/>
                <w:highlight w:val="none"/>
                <w:lang w:val="en" w:eastAsia="zh-CN"/>
              </w:rPr>
              <w:t>依托青岛职业教育公共服务平台等新媒体，宣传解读山东省职业教育条例。</w:t>
            </w:r>
          </w:p>
          <w:p w14:paraId="35D1E16A">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lang w:val="en" w:eastAsia="zh-CN"/>
              </w:rPr>
              <w:t>组织</w:t>
            </w:r>
            <w:r>
              <w:rPr>
                <w:rFonts w:hint="default" w:ascii="仿宋_GB2312" w:hAnsi="仿宋_GB2312" w:eastAsia="仿宋_GB2312" w:cs="仿宋_GB2312"/>
                <w:color w:val="auto"/>
                <w:kern w:val="0"/>
                <w:sz w:val="28"/>
                <w:szCs w:val="28"/>
                <w:highlight w:val="none"/>
                <w:lang w:val="en" w:eastAsia="zh-CN"/>
              </w:rPr>
              <w:t>开展“职业教育活动周”活动，</w:t>
            </w:r>
            <w:r>
              <w:rPr>
                <w:rFonts w:hint="eastAsia" w:ascii="仿宋_GB2312" w:hAnsi="仿宋_GB2312" w:eastAsia="仿宋_GB2312" w:cs="仿宋_GB2312"/>
                <w:color w:val="auto"/>
                <w:kern w:val="0"/>
                <w:sz w:val="28"/>
                <w:szCs w:val="28"/>
                <w:highlight w:val="none"/>
                <w:lang w:val="en" w:eastAsia="zh-CN"/>
              </w:rPr>
              <w:t>同步开展</w:t>
            </w:r>
            <w:r>
              <w:rPr>
                <w:rFonts w:hint="default" w:ascii="仿宋_GB2312" w:hAnsi="仿宋_GB2312" w:eastAsia="仿宋_GB2312" w:cs="仿宋_GB2312"/>
                <w:color w:val="auto"/>
                <w:kern w:val="0"/>
                <w:sz w:val="28"/>
                <w:szCs w:val="28"/>
                <w:highlight w:val="none"/>
                <w:lang w:val="en" w:eastAsia="zh-CN"/>
              </w:rPr>
              <w:t>职业教育法</w:t>
            </w:r>
            <w:r>
              <w:rPr>
                <w:rFonts w:hint="eastAsia" w:ascii="仿宋_GB2312" w:hAnsi="仿宋_GB2312" w:eastAsia="仿宋_GB2312" w:cs="仿宋_GB2312"/>
                <w:color w:val="auto"/>
                <w:kern w:val="0"/>
                <w:sz w:val="28"/>
                <w:szCs w:val="28"/>
                <w:highlight w:val="none"/>
                <w:lang w:val="en" w:eastAsia="zh-CN"/>
              </w:rPr>
              <w:t>、</w:t>
            </w:r>
            <w:r>
              <w:rPr>
                <w:rFonts w:hint="default" w:ascii="仿宋_GB2312" w:hAnsi="仿宋_GB2312" w:eastAsia="仿宋_GB2312" w:cs="仿宋_GB2312"/>
                <w:color w:val="auto"/>
                <w:kern w:val="0"/>
                <w:sz w:val="28"/>
                <w:szCs w:val="28"/>
                <w:highlight w:val="none"/>
                <w:lang w:val="en" w:eastAsia="zh-CN"/>
              </w:rPr>
              <w:t>山东省职业教育条例宣传</w:t>
            </w:r>
            <w:r>
              <w:rPr>
                <w:rFonts w:hint="eastAsia" w:ascii="仿宋_GB2312" w:hAnsi="仿宋_GB2312" w:eastAsia="仿宋_GB2312" w:cs="仿宋_GB2312"/>
                <w:color w:val="auto"/>
                <w:kern w:val="0"/>
                <w:sz w:val="28"/>
                <w:szCs w:val="28"/>
                <w:highlight w:val="none"/>
                <w:lang w:val="en" w:eastAsia="zh-CN"/>
              </w:rPr>
              <w:t>，营造全社会关心职业教育、参与职业教育的良好氛围。</w:t>
            </w:r>
          </w:p>
        </w:tc>
        <w:tc>
          <w:tcPr>
            <w:tcW w:w="1600"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14:paraId="67BA7B5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bidi="ar-SA"/>
              </w:rPr>
            </w:pPr>
            <w:r>
              <w:rPr>
                <w:rFonts w:hint="default" w:ascii="仿宋_GB2312" w:hAnsi="仿宋_GB2312" w:eastAsia="仿宋_GB2312" w:cs="仿宋_GB2312"/>
                <w:color w:val="auto"/>
                <w:kern w:val="0"/>
                <w:sz w:val="28"/>
                <w:szCs w:val="28"/>
                <w:highlight w:val="none"/>
                <w:lang w:val="en-US" w:eastAsia="zh-CN"/>
              </w:rPr>
              <w:t>5</w:t>
            </w:r>
            <w:r>
              <w:rPr>
                <w:rFonts w:hint="eastAsia" w:ascii="仿宋_GB2312" w:hAnsi="仿宋_GB2312" w:eastAsia="仿宋_GB2312" w:cs="仿宋_GB2312"/>
                <w:color w:val="auto"/>
                <w:kern w:val="0"/>
                <w:sz w:val="28"/>
                <w:szCs w:val="28"/>
                <w:highlight w:val="none"/>
                <w:lang w:val="en-US" w:eastAsia="zh-CN"/>
              </w:rPr>
              <w:t>月</w:t>
            </w:r>
            <w:r>
              <w:rPr>
                <w:rFonts w:hint="default" w:ascii="仿宋_GB2312" w:hAnsi="仿宋_GB2312" w:eastAsia="仿宋_GB2312" w:cs="仿宋_GB2312"/>
                <w:color w:val="auto"/>
                <w:kern w:val="0"/>
                <w:sz w:val="28"/>
                <w:szCs w:val="28"/>
                <w:highlight w:val="none"/>
                <w:lang w:val="en-US" w:eastAsia="zh-CN"/>
              </w:rPr>
              <w:t>-12</w:t>
            </w:r>
            <w:r>
              <w:rPr>
                <w:rFonts w:hint="eastAsia" w:ascii="仿宋_GB2312" w:hAnsi="仿宋_GB2312" w:eastAsia="仿宋_GB2312" w:cs="仿宋_GB2312"/>
                <w:color w:val="auto"/>
                <w:kern w:val="0"/>
                <w:sz w:val="28"/>
                <w:szCs w:val="28"/>
                <w:highlight w:val="none"/>
                <w:lang w:val="en-US" w:eastAsia="zh-CN"/>
              </w:rPr>
              <w:t>月</w:t>
            </w:r>
          </w:p>
        </w:tc>
        <w:tc>
          <w:tcPr>
            <w:tcW w:w="1810" w:type="dxa"/>
            <w:vMerge w:val="restart"/>
            <w:tcBorders>
              <w:top w:val="single" w:color="auto" w:sz="4" w:space="0"/>
              <w:left w:val="single" w:color="auto" w:sz="4" w:space="0"/>
              <w:bottom w:val="single" w:color="auto" w:sz="4" w:space="0"/>
              <w:right w:val="single" w:color="auto" w:sz="4" w:space="0"/>
            </w:tcBorders>
            <w:noWrap w:val="0"/>
            <w:vAlign w:val="center"/>
          </w:tcPr>
          <w:p w14:paraId="603FD8E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职业教育处</w:t>
            </w:r>
          </w:p>
        </w:tc>
      </w:tr>
      <w:tr w14:paraId="0D5F6152">
        <w:tblPrEx>
          <w:tblCellMar>
            <w:top w:w="115" w:type="dxa"/>
            <w:left w:w="118" w:type="dxa"/>
            <w:bottom w:w="0" w:type="dxa"/>
            <w:right w:w="155" w:type="dxa"/>
          </w:tblCellMar>
        </w:tblPrEx>
        <w:trPr>
          <w:trHeight w:val="1203"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6FBAB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8</w:t>
            </w:r>
          </w:p>
        </w:tc>
        <w:tc>
          <w:tcPr>
            <w:tcW w:w="3356" w:type="dxa"/>
            <w:tcBorders>
              <w:top w:val="single" w:color="auto" w:sz="4" w:space="0"/>
              <w:left w:val="single" w:color="auto" w:sz="4" w:space="0"/>
              <w:bottom w:val="single" w:color="000000" w:sz="2" w:space="0"/>
              <w:right w:val="single" w:color="000000" w:sz="2" w:space="0"/>
            </w:tcBorders>
            <w:shd w:val="clear" w:color="auto" w:fill="auto"/>
            <w:noWrap w:val="0"/>
            <w:vAlign w:val="center"/>
          </w:tcPr>
          <w:p w14:paraId="27C1C5B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 w:eastAsia="zh-CN"/>
              </w:rPr>
            </w:pPr>
            <w:r>
              <w:rPr>
                <w:rFonts w:hint="default" w:ascii="仿宋_GB2312" w:hAnsi="仿宋_GB2312" w:eastAsia="仿宋_GB2312" w:cs="仿宋_GB2312"/>
                <w:color w:val="auto"/>
                <w:kern w:val="0"/>
                <w:sz w:val="28"/>
                <w:szCs w:val="28"/>
                <w:highlight w:val="none"/>
                <w:lang w:val="en" w:eastAsia="zh-CN"/>
              </w:rPr>
              <w:t>山东省职业教育条例</w:t>
            </w:r>
          </w:p>
        </w:tc>
        <w:tc>
          <w:tcPr>
            <w:tcW w:w="7014" w:type="dxa"/>
            <w:vMerge w:val="continue"/>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60E2559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 w:eastAsia="zh-CN"/>
              </w:rPr>
            </w:pPr>
          </w:p>
        </w:tc>
        <w:tc>
          <w:tcPr>
            <w:tcW w:w="1600" w:type="dxa"/>
            <w:vMerge w:val="continue"/>
            <w:tcBorders>
              <w:top w:val="single" w:color="auto" w:sz="4" w:space="0"/>
              <w:left w:val="single" w:color="000000" w:sz="2" w:space="0"/>
              <w:bottom w:val="single" w:color="000000" w:sz="2" w:space="0"/>
              <w:right w:val="single" w:color="auto" w:sz="4" w:space="0"/>
            </w:tcBorders>
            <w:shd w:val="clear" w:color="auto" w:fill="auto"/>
            <w:noWrap w:val="0"/>
            <w:vAlign w:val="center"/>
          </w:tcPr>
          <w:p w14:paraId="18C55C9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 w:eastAsia="zh-CN"/>
              </w:rPr>
            </w:pP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14:paraId="57CDE19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 w:eastAsia="zh-CN"/>
              </w:rPr>
            </w:pPr>
          </w:p>
        </w:tc>
      </w:tr>
      <w:tr w14:paraId="2B52D18D">
        <w:tblPrEx>
          <w:tblCellMar>
            <w:top w:w="115" w:type="dxa"/>
            <w:left w:w="118" w:type="dxa"/>
            <w:bottom w:w="0" w:type="dxa"/>
            <w:right w:w="155" w:type="dxa"/>
          </w:tblCellMar>
        </w:tblPrEx>
        <w:trPr>
          <w:trHeight w:val="738" w:hRule="atLeast"/>
          <w:tblHeader/>
          <w:jc w:val="center"/>
        </w:trPr>
        <w:tc>
          <w:tcPr>
            <w:tcW w:w="989" w:type="dxa"/>
            <w:tcBorders>
              <w:top w:val="single" w:color="auto" w:sz="4" w:space="0"/>
              <w:left w:val="single" w:color="000000" w:sz="2" w:space="0"/>
              <w:bottom w:val="single" w:color="000000" w:sz="2" w:space="0"/>
              <w:right w:val="single" w:color="000000" w:sz="2" w:space="0"/>
            </w:tcBorders>
            <w:shd w:val="clear" w:color="auto" w:fill="auto"/>
            <w:vAlign w:val="center"/>
          </w:tcPr>
          <w:p w14:paraId="67C2317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9</w:t>
            </w:r>
          </w:p>
        </w:tc>
        <w:tc>
          <w:tcPr>
            <w:tcW w:w="3356"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73D6A25">
            <w:pPr>
              <w:keepNext w:val="0"/>
              <w:keepLines w:val="0"/>
              <w:pageBreakBefore w:val="0"/>
              <w:widowControl w:val="0"/>
              <w:kinsoku/>
              <w:wordWrap/>
              <w:overflowPunct/>
              <w:topLinePunct w:val="0"/>
              <w:autoSpaceDE/>
              <w:autoSpaceDN/>
              <w:bidi w:val="0"/>
              <w:spacing w:line="240" w:lineRule="atLeast"/>
              <w:jc w:val="center"/>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高等教育法</w:t>
            </w:r>
          </w:p>
        </w:tc>
        <w:tc>
          <w:tcPr>
            <w:tcW w:w="7014" w:type="dxa"/>
            <w:tcBorders>
              <w:top w:val="single" w:color="auto" w:sz="4" w:space="0"/>
              <w:left w:val="single" w:color="000000" w:sz="2" w:space="0"/>
              <w:bottom w:val="single" w:color="000000" w:sz="2" w:space="0"/>
              <w:right w:val="single" w:color="000000" w:sz="2" w:space="0"/>
            </w:tcBorders>
            <w:shd w:val="clear" w:color="auto" w:fill="auto"/>
            <w:vAlign w:val="center"/>
          </w:tcPr>
          <w:p w14:paraId="723F4CA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组织倡导在青高校开展高等教育法学习。</w:t>
            </w:r>
          </w:p>
        </w:tc>
        <w:tc>
          <w:tcPr>
            <w:tcW w:w="1600" w:type="dxa"/>
            <w:tcBorders>
              <w:top w:val="single" w:color="000000" w:sz="2" w:space="0"/>
              <w:left w:val="single" w:color="000000" w:sz="2" w:space="0"/>
              <w:bottom w:val="single" w:color="000000" w:sz="2" w:space="0"/>
              <w:right w:val="single" w:color="auto" w:sz="4" w:space="0"/>
            </w:tcBorders>
            <w:shd w:val="clear" w:color="auto" w:fill="auto"/>
            <w:vAlign w:val="center"/>
          </w:tcPr>
          <w:p w14:paraId="016493A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6月-12月</w:t>
            </w:r>
          </w:p>
        </w:tc>
        <w:tc>
          <w:tcPr>
            <w:tcW w:w="1810" w:type="dxa"/>
            <w:tcBorders>
              <w:top w:val="single" w:color="auto" w:sz="4" w:space="0"/>
              <w:left w:val="single" w:color="auto" w:sz="4" w:space="0"/>
              <w:bottom w:val="single" w:color="auto" w:sz="4" w:space="0"/>
              <w:right w:val="single" w:color="auto" w:sz="4" w:space="0"/>
            </w:tcBorders>
            <w:vAlign w:val="center"/>
          </w:tcPr>
          <w:p w14:paraId="692B742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高教处</w:t>
            </w:r>
          </w:p>
        </w:tc>
      </w:tr>
      <w:tr w14:paraId="457047ED">
        <w:tblPrEx>
          <w:tblCellMar>
            <w:top w:w="115" w:type="dxa"/>
            <w:left w:w="118" w:type="dxa"/>
            <w:bottom w:w="0" w:type="dxa"/>
            <w:right w:w="155" w:type="dxa"/>
          </w:tblCellMar>
        </w:tblPrEx>
        <w:trPr>
          <w:trHeight w:val="648"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7C26DB7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10</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45FBC45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eastAsia="zh-CN"/>
              </w:rPr>
              <w:t>行政处罚法</w:t>
            </w:r>
          </w:p>
        </w:tc>
        <w:tc>
          <w:tcPr>
            <w:tcW w:w="7014" w:type="dxa"/>
            <w:vMerge w:val="restart"/>
            <w:tcBorders>
              <w:top w:val="single" w:color="auto" w:sz="4" w:space="0"/>
              <w:left w:val="single" w:color="000000" w:sz="2" w:space="0"/>
              <w:right w:val="single" w:color="000000" w:sz="2" w:space="0"/>
            </w:tcBorders>
            <w:shd w:val="clear" w:color="auto" w:fill="auto"/>
            <w:noWrap w:val="0"/>
            <w:vAlign w:val="center"/>
          </w:tcPr>
          <w:p w14:paraId="21B2B462">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组织开展全市校外培训行政执法人员培训，邀请行业专家、律师解读各项法规，邀请执法经验丰富的同志讲解行政执法文书制作等执法实务内容，全面提高校外培训行政执法质量和效能。</w:t>
            </w:r>
          </w:p>
        </w:tc>
        <w:tc>
          <w:tcPr>
            <w:tcW w:w="1600" w:type="dxa"/>
            <w:vMerge w:val="restart"/>
            <w:tcBorders>
              <w:top w:val="single" w:color="000000" w:sz="2" w:space="0"/>
              <w:left w:val="single" w:color="000000" w:sz="2" w:space="0"/>
              <w:right w:val="single" w:color="auto" w:sz="4" w:space="0"/>
            </w:tcBorders>
            <w:shd w:val="clear" w:color="auto" w:fill="auto"/>
            <w:noWrap w:val="0"/>
            <w:vAlign w:val="center"/>
          </w:tcPr>
          <w:p w14:paraId="1072194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4月-12月</w:t>
            </w:r>
          </w:p>
        </w:tc>
        <w:tc>
          <w:tcPr>
            <w:tcW w:w="1810" w:type="dxa"/>
            <w:vMerge w:val="restart"/>
            <w:tcBorders>
              <w:top w:val="single" w:color="auto" w:sz="4" w:space="0"/>
              <w:left w:val="single" w:color="auto" w:sz="4" w:space="0"/>
              <w:right w:val="single" w:color="auto" w:sz="4" w:space="0"/>
            </w:tcBorders>
            <w:noWrap w:val="0"/>
            <w:vAlign w:val="center"/>
          </w:tcPr>
          <w:p w14:paraId="4CE25DF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民办教育处</w:t>
            </w:r>
          </w:p>
        </w:tc>
      </w:tr>
      <w:tr w14:paraId="48BD0C61">
        <w:tblPrEx>
          <w:tblCellMar>
            <w:top w:w="115" w:type="dxa"/>
            <w:left w:w="118" w:type="dxa"/>
            <w:bottom w:w="0" w:type="dxa"/>
            <w:right w:w="155" w:type="dxa"/>
          </w:tblCellMar>
        </w:tblPrEx>
        <w:trPr>
          <w:trHeight w:val="665" w:hRule="atLeast"/>
          <w:tblHeader/>
          <w:jc w:val="center"/>
        </w:trPr>
        <w:tc>
          <w:tcPr>
            <w:tcW w:w="989" w:type="dxa"/>
            <w:tcBorders>
              <w:top w:val="single" w:color="000000" w:sz="2" w:space="0"/>
              <w:left w:val="single" w:color="000000" w:sz="2" w:space="0"/>
              <w:bottom w:val="single" w:color="000000" w:sz="2" w:space="0"/>
              <w:right w:val="single" w:color="000000" w:sz="2" w:space="0"/>
            </w:tcBorders>
            <w:noWrap w:val="0"/>
            <w:vAlign w:val="center"/>
          </w:tcPr>
          <w:p w14:paraId="3CB299C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11</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41EA40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行政强制法</w:t>
            </w:r>
          </w:p>
        </w:tc>
        <w:tc>
          <w:tcPr>
            <w:tcW w:w="7014" w:type="dxa"/>
            <w:vMerge w:val="continue"/>
            <w:tcBorders>
              <w:left w:val="single" w:color="000000" w:sz="2" w:space="0"/>
              <w:right w:val="single" w:color="000000" w:sz="2" w:space="0"/>
            </w:tcBorders>
            <w:shd w:val="clear" w:color="auto" w:fill="auto"/>
            <w:noWrap w:val="0"/>
            <w:vAlign w:val="center"/>
          </w:tcPr>
          <w:p w14:paraId="5C7A7CF1">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right w:val="single" w:color="auto" w:sz="4" w:space="0"/>
            </w:tcBorders>
            <w:shd w:val="clear" w:color="auto" w:fill="auto"/>
            <w:noWrap w:val="0"/>
            <w:vAlign w:val="center"/>
          </w:tcPr>
          <w:p w14:paraId="03374D4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c>
          <w:tcPr>
            <w:tcW w:w="1810" w:type="dxa"/>
            <w:vMerge w:val="continue"/>
            <w:tcBorders>
              <w:left w:val="single" w:color="auto" w:sz="4" w:space="0"/>
              <w:right w:val="single" w:color="auto" w:sz="4" w:space="0"/>
            </w:tcBorders>
            <w:noWrap w:val="0"/>
            <w:vAlign w:val="center"/>
          </w:tcPr>
          <w:p w14:paraId="4D5294D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5A2B62A0">
        <w:tblPrEx>
          <w:tblCellMar>
            <w:top w:w="115" w:type="dxa"/>
            <w:left w:w="118" w:type="dxa"/>
            <w:bottom w:w="0" w:type="dxa"/>
            <w:right w:w="155" w:type="dxa"/>
          </w:tblCellMar>
        </w:tblPrEx>
        <w:trPr>
          <w:trHeight w:val="632"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0CE10B3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12</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51CC655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w w:val="92"/>
                <w:kern w:val="0"/>
                <w:sz w:val="28"/>
                <w:szCs w:val="28"/>
                <w:highlight w:val="none"/>
                <w:lang w:val="en-US" w:eastAsia="zh-CN" w:bidi="ar-SA"/>
              </w:rPr>
              <w:t>校外培训行政处罚暂行办法</w:t>
            </w:r>
          </w:p>
        </w:tc>
        <w:tc>
          <w:tcPr>
            <w:tcW w:w="7014" w:type="dxa"/>
            <w:vMerge w:val="continue"/>
            <w:tcBorders>
              <w:left w:val="single" w:color="000000" w:sz="2" w:space="0"/>
              <w:right w:val="single" w:color="000000" w:sz="2" w:space="0"/>
            </w:tcBorders>
            <w:noWrap w:val="0"/>
            <w:vAlign w:val="center"/>
          </w:tcPr>
          <w:p w14:paraId="6A6C10ED">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p>
        </w:tc>
        <w:tc>
          <w:tcPr>
            <w:tcW w:w="1600" w:type="dxa"/>
            <w:vMerge w:val="continue"/>
            <w:tcBorders>
              <w:left w:val="single" w:color="000000" w:sz="2" w:space="0"/>
              <w:right w:val="single" w:color="auto" w:sz="4" w:space="0"/>
            </w:tcBorders>
            <w:noWrap w:val="0"/>
            <w:vAlign w:val="center"/>
          </w:tcPr>
          <w:p w14:paraId="32E8704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p>
        </w:tc>
        <w:tc>
          <w:tcPr>
            <w:tcW w:w="1810" w:type="dxa"/>
            <w:vMerge w:val="continue"/>
            <w:tcBorders>
              <w:left w:val="single" w:color="auto" w:sz="4" w:space="0"/>
              <w:right w:val="single" w:color="auto" w:sz="4" w:space="0"/>
            </w:tcBorders>
            <w:noWrap w:val="0"/>
            <w:vAlign w:val="center"/>
          </w:tcPr>
          <w:p w14:paraId="248DD4F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2B1AD418">
        <w:tblPrEx>
          <w:tblCellMar>
            <w:top w:w="115" w:type="dxa"/>
            <w:left w:w="118" w:type="dxa"/>
            <w:bottom w:w="0" w:type="dxa"/>
            <w:right w:w="155" w:type="dxa"/>
          </w:tblCellMar>
        </w:tblPrEx>
        <w:trPr>
          <w:trHeight w:val="590"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1BC477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13</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25C9303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山东省行政程序规定</w:t>
            </w:r>
          </w:p>
        </w:tc>
        <w:tc>
          <w:tcPr>
            <w:tcW w:w="7014" w:type="dxa"/>
            <w:vMerge w:val="continue"/>
            <w:tcBorders>
              <w:left w:val="single" w:color="000000" w:sz="2" w:space="0"/>
              <w:bottom w:val="single" w:color="000000" w:sz="2" w:space="0"/>
              <w:right w:val="single" w:color="000000" w:sz="2" w:space="0"/>
            </w:tcBorders>
            <w:noWrap w:val="0"/>
            <w:vAlign w:val="center"/>
          </w:tcPr>
          <w:p w14:paraId="420EAB26">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bottom w:val="single" w:color="000000" w:sz="2" w:space="0"/>
              <w:right w:val="single" w:color="auto" w:sz="4" w:space="0"/>
            </w:tcBorders>
            <w:noWrap w:val="0"/>
            <w:vAlign w:val="center"/>
          </w:tcPr>
          <w:p w14:paraId="6646F62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right w:val="single" w:color="auto" w:sz="4" w:space="0"/>
            </w:tcBorders>
            <w:noWrap w:val="0"/>
            <w:vAlign w:val="center"/>
          </w:tcPr>
          <w:p w14:paraId="70F655B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5CC8DC04">
        <w:tblPrEx>
          <w:tblCellMar>
            <w:top w:w="115" w:type="dxa"/>
            <w:left w:w="118" w:type="dxa"/>
            <w:bottom w:w="0" w:type="dxa"/>
            <w:right w:w="155" w:type="dxa"/>
          </w:tblCellMar>
        </w:tblPrEx>
        <w:trPr>
          <w:trHeight w:val="751"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62A3EEC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14</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0EEA30A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民办教育促进法</w:t>
            </w:r>
          </w:p>
        </w:tc>
        <w:tc>
          <w:tcPr>
            <w:tcW w:w="7014" w:type="dxa"/>
            <w:vMerge w:val="restart"/>
            <w:tcBorders>
              <w:top w:val="single" w:color="000000" w:sz="2" w:space="0"/>
              <w:left w:val="single" w:color="000000" w:sz="2" w:space="0"/>
              <w:right w:val="single" w:color="000000" w:sz="2" w:space="0"/>
            </w:tcBorders>
            <w:noWrap w:val="0"/>
            <w:vAlign w:val="center"/>
          </w:tcPr>
          <w:p w14:paraId="76BFBAE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修订《民办教育政策法规汇编》，发各区（市）教育行政部门、民办中小学，指导各区（市）、各学校加强民办教育促进法及相关法律法规学习，持续引导规范民办教育发展。</w:t>
            </w:r>
          </w:p>
        </w:tc>
        <w:tc>
          <w:tcPr>
            <w:tcW w:w="1600" w:type="dxa"/>
            <w:vMerge w:val="restart"/>
            <w:tcBorders>
              <w:top w:val="single" w:color="000000" w:sz="2" w:space="0"/>
              <w:left w:val="single" w:color="000000" w:sz="2" w:space="0"/>
              <w:right w:val="single" w:color="000000" w:sz="2" w:space="0"/>
            </w:tcBorders>
            <w:noWrap w:val="0"/>
            <w:vAlign w:val="center"/>
          </w:tcPr>
          <w:p w14:paraId="59FEDEC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bidi="ar-SA"/>
              </w:rPr>
              <w:t>4月-12月</w:t>
            </w:r>
          </w:p>
        </w:tc>
        <w:tc>
          <w:tcPr>
            <w:tcW w:w="1810" w:type="dxa"/>
            <w:vMerge w:val="continue"/>
            <w:tcBorders>
              <w:left w:val="single" w:color="auto" w:sz="4" w:space="0"/>
              <w:right w:val="single" w:color="auto" w:sz="4" w:space="0"/>
            </w:tcBorders>
            <w:noWrap w:val="0"/>
            <w:vAlign w:val="center"/>
          </w:tcPr>
          <w:p w14:paraId="06AC811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75ED74E4">
        <w:tblPrEx>
          <w:tblCellMar>
            <w:top w:w="115" w:type="dxa"/>
            <w:left w:w="118" w:type="dxa"/>
            <w:bottom w:w="0" w:type="dxa"/>
            <w:right w:w="155" w:type="dxa"/>
          </w:tblCellMar>
        </w:tblPrEx>
        <w:trPr>
          <w:trHeight w:val="651"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76EB033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15</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140AC53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民办教育促进法实施条例</w:t>
            </w:r>
          </w:p>
        </w:tc>
        <w:tc>
          <w:tcPr>
            <w:tcW w:w="7014" w:type="dxa"/>
            <w:vMerge w:val="continue"/>
            <w:tcBorders>
              <w:left w:val="single" w:color="000000" w:sz="2" w:space="0"/>
              <w:right w:val="single" w:color="000000" w:sz="2" w:space="0"/>
            </w:tcBorders>
            <w:noWrap w:val="0"/>
            <w:vAlign w:val="center"/>
          </w:tcPr>
          <w:p w14:paraId="1CCA13BD">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right w:val="single" w:color="000000" w:sz="2" w:space="0"/>
            </w:tcBorders>
            <w:noWrap w:val="0"/>
            <w:vAlign w:val="center"/>
          </w:tcPr>
          <w:p w14:paraId="3A35AEB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right w:val="single" w:color="auto" w:sz="4" w:space="0"/>
            </w:tcBorders>
            <w:noWrap w:val="0"/>
            <w:vAlign w:val="center"/>
          </w:tcPr>
          <w:p w14:paraId="7F2466F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78CBA966">
        <w:tblPrEx>
          <w:tblCellMar>
            <w:top w:w="115" w:type="dxa"/>
            <w:left w:w="118" w:type="dxa"/>
            <w:bottom w:w="0" w:type="dxa"/>
            <w:right w:w="155" w:type="dxa"/>
          </w:tblCellMar>
        </w:tblPrEx>
        <w:trPr>
          <w:trHeight w:val="674" w:hRule="atLeast"/>
          <w:tblHeader/>
          <w:jc w:val="center"/>
        </w:trPr>
        <w:tc>
          <w:tcPr>
            <w:tcW w:w="989" w:type="dxa"/>
            <w:tcBorders>
              <w:top w:val="single" w:color="000000" w:sz="2" w:space="0"/>
              <w:left w:val="single" w:color="000000" w:sz="2" w:space="0"/>
              <w:bottom w:val="single" w:color="auto" w:sz="4" w:space="0"/>
              <w:right w:val="single" w:color="000000" w:sz="2" w:space="0"/>
            </w:tcBorders>
            <w:shd w:val="clear" w:color="auto" w:fill="auto"/>
            <w:noWrap w:val="0"/>
            <w:vAlign w:val="center"/>
          </w:tcPr>
          <w:p w14:paraId="449379E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heme="minorHAnsi" w:hAnsiTheme="minorHAnsi" w:eastAsiaTheme="minorEastAsia" w:cstheme="minorBidi"/>
                <w:kern w:val="2"/>
                <w:sz w:val="21"/>
                <w:szCs w:val="24"/>
                <w:lang w:val="en-US" w:eastAsia="zh-CN" w:bidi="ar-SA"/>
              </w:rPr>
            </w:pPr>
            <w:r>
              <w:rPr>
                <w:rFonts w:hint="eastAsia" w:ascii="仿宋_GB2312" w:hAnsi="仿宋_GB2312" w:eastAsia="仿宋_GB2312" w:cs="仿宋_GB2312"/>
                <w:color w:val="auto"/>
                <w:kern w:val="0"/>
                <w:sz w:val="28"/>
                <w:szCs w:val="28"/>
                <w:highlight w:val="none"/>
                <w:lang w:val="en-US" w:eastAsia="zh-CN"/>
              </w:rPr>
              <w:t>16</w:t>
            </w:r>
          </w:p>
        </w:tc>
        <w:tc>
          <w:tcPr>
            <w:tcW w:w="3356" w:type="dxa"/>
            <w:tcBorders>
              <w:top w:val="single" w:color="000000" w:sz="2" w:space="0"/>
              <w:left w:val="single" w:color="000000" w:sz="2" w:space="0"/>
              <w:bottom w:val="single" w:color="auto" w:sz="4" w:space="0"/>
              <w:right w:val="single" w:color="000000" w:sz="2" w:space="0"/>
            </w:tcBorders>
            <w:noWrap w:val="0"/>
            <w:vAlign w:val="center"/>
          </w:tcPr>
          <w:p w14:paraId="063180B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行政许可法</w:t>
            </w:r>
          </w:p>
        </w:tc>
        <w:tc>
          <w:tcPr>
            <w:tcW w:w="7014" w:type="dxa"/>
            <w:vMerge w:val="continue"/>
            <w:tcBorders>
              <w:left w:val="single" w:color="000000" w:sz="2" w:space="0"/>
              <w:bottom w:val="single" w:color="auto" w:sz="4" w:space="0"/>
              <w:right w:val="single" w:color="000000" w:sz="2" w:space="0"/>
            </w:tcBorders>
            <w:noWrap w:val="0"/>
            <w:vAlign w:val="center"/>
          </w:tcPr>
          <w:p w14:paraId="38626197">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bottom w:val="single" w:color="auto" w:sz="4" w:space="0"/>
              <w:right w:val="single" w:color="000000" w:sz="2" w:space="0"/>
            </w:tcBorders>
            <w:noWrap w:val="0"/>
            <w:vAlign w:val="center"/>
          </w:tcPr>
          <w:p w14:paraId="481DDC5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bottom w:val="single" w:color="auto" w:sz="4" w:space="0"/>
              <w:right w:val="single" w:color="auto" w:sz="4" w:space="0"/>
            </w:tcBorders>
            <w:noWrap w:val="0"/>
            <w:vAlign w:val="center"/>
          </w:tcPr>
          <w:p w14:paraId="4C10492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324D71D0">
        <w:tblPrEx>
          <w:tblCellMar>
            <w:top w:w="115" w:type="dxa"/>
            <w:left w:w="118" w:type="dxa"/>
            <w:bottom w:w="0" w:type="dxa"/>
            <w:right w:w="155" w:type="dxa"/>
          </w:tblCellMar>
        </w:tblPrEx>
        <w:trPr>
          <w:trHeight w:val="927"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6F20AD4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17</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43BD3BE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国家通用语言文字法</w:t>
            </w:r>
          </w:p>
        </w:tc>
        <w:tc>
          <w:tcPr>
            <w:tcW w:w="7014" w:type="dxa"/>
            <w:tcBorders>
              <w:top w:val="single" w:color="000000" w:sz="2" w:space="0"/>
              <w:left w:val="single" w:color="000000" w:sz="2" w:space="0"/>
              <w:bottom w:val="single" w:color="000000" w:sz="2" w:space="0"/>
              <w:right w:val="single" w:color="000000" w:sz="2" w:space="0"/>
            </w:tcBorders>
            <w:noWrap w:val="0"/>
            <w:vAlign w:val="center"/>
          </w:tcPr>
          <w:p w14:paraId="2F2F9EFC">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eastAsia="zh-CN"/>
              </w:rPr>
              <w:t>组织开展“全国推广普通话宣传周”活动，宣传</w:t>
            </w:r>
            <w:r>
              <w:rPr>
                <w:rFonts w:hint="eastAsia" w:ascii="仿宋_GB2312" w:hAnsi="仿宋_GB2312" w:eastAsia="仿宋_GB2312" w:cs="仿宋_GB2312"/>
                <w:color w:val="auto"/>
                <w:kern w:val="0"/>
                <w:sz w:val="28"/>
                <w:szCs w:val="28"/>
                <w:highlight w:val="none"/>
                <w:lang w:val="en-US" w:eastAsia="zh-CN"/>
              </w:rPr>
              <w:t>国家通用语言文字法，提升</w:t>
            </w:r>
            <w:r>
              <w:rPr>
                <w:rFonts w:hint="eastAsia" w:ascii="仿宋_GB2312" w:hAnsi="仿宋_GB2312" w:eastAsia="仿宋_GB2312" w:cs="仿宋_GB2312"/>
                <w:color w:val="auto"/>
                <w:kern w:val="0"/>
                <w:sz w:val="28"/>
                <w:szCs w:val="28"/>
                <w:highlight w:val="none"/>
                <w:lang w:eastAsia="zh-CN"/>
              </w:rPr>
              <w:t>社会公众规范使用语言文字意识。</w:t>
            </w:r>
          </w:p>
        </w:tc>
        <w:tc>
          <w:tcPr>
            <w:tcW w:w="1600" w:type="dxa"/>
            <w:tcBorders>
              <w:top w:val="single" w:color="000000" w:sz="2" w:space="0"/>
              <w:left w:val="single" w:color="000000" w:sz="2" w:space="0"/>
              <w:bottom w:val="single" w:color="000000" w:sz="2" w:space="0"/>
              <w:right w:val="single" w:color="000000" w:sz="2" w:space="0"/>
            </w:tcBorders>
            <w:noWrap w:val="0"/>
            <w:vAlign w:val="center"/>
          </w:tcPr>
          <w:p w14:paraId="1B3619E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9月第3周</w:t>
            </w:r>
          </w:p>
        </w:tc>
        <w:tc>
          <w:tcPr>
            <w:tcW w:w="1810" w:type="dxa"/>
            <w:tcBorders>
              <w:top w:val="single" w:color="000000" w:sz="2" w:space="0"/>
              <w:left w:val="single" w:color="000000" w:sz="2" w:space="0"/>
              <w:bottom w:val="single" w:color="000000" w:sz="2" w:space="0"/>
              <w:right w:val="single" w:color="000000" w:sz="2" w:space="0"/>
            </w:tcBorders>
            <w:noWrap w:val="0"/>
            <w:vAlign w:val="center"/>
          </w:tcPr>
          <w:p w14:paraId="109793B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体卫艺处</w:t>
            </w:r>
          </w:p>
        </w:tc>
      </w:tr>
      <w:tr w14:paraId="30331D0E">
        <w:tblPrEx>
          <w:tblCellMar>
            <w:top w:w="115" w:type="dxa"/>
            <w:left w:w="118" w:type="dxa"/>
            <w:bottom w:w="0" w:type="dxa"/>
            <w:right w:w="155" w:type="dxa"/>
          </w:tblCellMar>
        </w:tblPrEx>
        <w:trPr>
          <w:trHeight w:val="1920"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2E7263F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18</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2184EED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eastAsia="zh-CN"/>
              </w:rPr>
              <w:t>家庭教育促进法</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0B6BB37B">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1.将家庭教育促进法纳入班主任、骨干教师等学习培训内容，提升干部教师家庭教育工作方面的法治素养。</w:t>
            </w:r>
          </w:p>
          <w:p w14:paraId="2CCACA93">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2.将家庭教育促进法纳入志愿服务宣讲，利用青岛市“爱润成长”家庭教育志愿服务队开展普法宣传。</w:t>
            </w:r>
          </w:p>
          <w:p w14:paraId="6A328A5D">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3.举办家庭教育宣传周主题活动，宣传推广</w:t>
            </w:r>
            <w:r>
              <w:rPr>
                <w:rFonts w:hint="eastAsia" w:ascii="仿宋_GB2312" w:hAnsi="仿宋_GB2312" w:eastAsia="仿宋_GB2312" w:cs="仿宋_GB2312"/>
                <w:color w:val="auto"/>
                <w:kern w:val="0"/>
                <w:sz w:val="28"/>
                <w:szCs w:val="28"/>
                <w:highlight w:val="none"/>
                <w:lang w:eastAsia="zh-CN"/>
              </w:rPr>
              <w:t>家庭教育促进法</w:t>
            </w:r>
            <w:r>
              <w:rPr>
                <w:rFonts w:hint="eastAsia" w:ascii="仿宋_GB2312" w:hAnsi="仿宋_GB2312" w:eastAsia="仿宋_GB2312" w:cs="仿宋_GB2312"/>
                <w:color w:val="auto"/>
                <w:kern w:val="0"/>
                <w:sz w:val="28"/>
                <w:szCs w:val="28"/>
                <w:highlight w:val="none"/>
                <w:lang w:val="en-US" w:eastAsia="zh-CN"/>
              </w:rPr>
              <w:t>。</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164DDE2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3月-11月</w:t>
            </w:r>
          </w:p>
        </w:tc>
        <w:tc>
          <w:tcPr>
            <w:tcW w:w="1810" w:type="dxa"/>
            <w:tcBorders>
              <w:top w:val="single" w:color="auto" w:sz="4" w:space="0"/>
              <w:left w:val="single" w:color="auto" w:sz="4" w:space="0"/>
              <w:bottom w:val="single" w:color="auto" w:sz="4" w:space="0"/>
              <w:right w:val="single" w:color="auto" w:sz="4" w:space="0"/>
            </w:tcBorders>
            <w:noWrap w:val="0"/>
            <w:vAlign w:val="center"/>
          </w:tcPr>
          <w:p w14:paraId="58733D7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家庭教育处</w:t>
            </w:r>
          </w:p>
        </w:tc>
      </w:tr>
      <w:tr w14:paraId="56D1E658">
        <w:tblPrEx>
          <w:tblCellMar>
            <w:top w:w="115" w:type="dxa"/>
            <w:left w:w="118" w:type="dxa"/>
            <w:bottom w:w="0" w:type="dxa"/>
            <w:right w:w="155" w:type="dxa"/>
          </w:tblCellMar>
        </w:tblPrEx>
        <w:trPr>
          <w:trHeight w:val="936"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E7891B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19</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75E75B1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未成年人保护法</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0B096114">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依托“六一”儿童节等重要时间节点，面向学生开展未成年人保护法相关内容宣讲活动。</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6FA2DE9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6月</w:t>
            </w:r>
          </w:p>
        </w:tc>
        <w:tc>
          <w:tcPr>
            <w:tcW w:w="1810" w:type="dxa"/>
            <w:vMerge w:val="restart"/>
            <w:tcBorders>
              <w:top w:val="single" w:color="auto" w:sz="4" w:space="0"/>
              <w:left w:val="single" w:color="auto" w:sz="4" w:space="0"/>
              <w:right w:val="single" w:color="auto" w:sz="4" w:space="0"/>
            </w:tcBorders>
            <w:noWrap w:val="0"/>
            <w:vAlign w:val="center"/>
          </w:tcPr>
          <w:p w14:paraId="2BFBB7C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思想政治与德育工作处</w:t>
            </w:r>
          </w:p>
        </w:tc>
      </w:tr>
      <w:tr w14:paraId="1C8CCA2E">
        <w:tblPrEx>
          <w:tblCellMar>
            <w:top w:w="115" w:type="dxa"/>
            <w:left w:w="118" w:type="dxa"/>
            <w:bottom w:w="0" w:type="dxa"/>
            <w:right w:w="155" w:type="dxa"/>
          </w:tblCellMar>
        </w:tblPrEx>
        <w:trPr>
          <w:trHeight w:val="921"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6C82DD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20</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2251ACC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爱国主义教育法</w:t>
            </w:r>
          </w:p>
        </w:tc>
        <w:tc>
          <w:tcPr>
            <w:tcW w:w="7014" w:type="dxa"/>
            <w:tcBorders>
              <w:top w:val="single" w:color="000000" w:sz="2" w:space="0"/>
              <w:left w:val="single" w:color="000000" w:sz="2" w:space="0"/>
              <w:bottom w:val="single" w:color="000000" w:sz="2" w:space="0"/>
              <w:right w:val="single" w:color="000000" w:sz="2" w:space="0"/>
            </w:tcBorders>
            <w:noWrap w:val="0"/>
            <w:vAlign w:val="center"/>
          </w:tcPr>
          <w:p w14:paraId="5786F960">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结合“立志报国，挺膺担当”主题教育活动，面向学生开展相关主题宣传教育活动。</w:t>
            </w:r>
          </w:p>
        </w:tc>
        <w:tc>
          <w:tcPr>
            <w:tcW w:w="1600" w:type="dxa"/>
            <w:tcBorders>
              <w:top w:val="single" w:color="000000" w:sz="2" w:space="0"/>
              <w:left w:val="single" w:color="000000" w:sz="2" w:space="0"/>
              <w:bottom w:val="single" w:color="000000" w:sz="2" w:space="0"/>
              <w:right w:val="single" w:color="000000" w:sz="2" w:space="0"/>
            </w:tcBorders>
            <w:noWrap w:val="0"/>
            <w:vAlign w:val="center"/>
          </w:tcPr>
          <w:p w14:paraId="2BD9737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3月-10月</w:t>
            </w:r>
          </w:p>
        </w:tc>
        <w:tc>
          <w:tcPr>
            <w:tcW w:w="1810" w:type="dxa"/>
            <w:vMerge w:val="continue"/>
            <w:tcBorders>
              <w:left w:val="single" w:color="auto" w:sz="4" w:space="0"/>
              <w:bottom w:val="single" w:color="000000" w:sz="2" w:space="0"/>
              <w:right w:val="single" w:color="auto" w:sz="4" w:space="0"/>
            </w:tcBorders>
            <w:noWrap w:val="0"/>
            <w:vAlign w:val="center"/>
          </w:tcPr>
          <w:p w14:paraId="136B53E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35E9C16E">
        <w:tblPrEx>
          <w:tblCellMar>
            <w:top w:w="115" w:type="dxa"/>
            <w:left w:w="118" w:type="dxa"/>
            <w:bottom w:w="0" w:type="dxa"/>
            <w:right w:w="155" w:type="dxa"/>
          </w:tblCellMar>
        </w:tblPrEx>
        <w:trPr>
          <w:trHeight w:val="788"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058E0E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21</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D43242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中外合作办学条例</w:t>
            </w:r>
          </w:p>
        </w:tc>
        <w:tc>
          <w:tcPr>
            <w:tcW w:w="7014" w:type="dxa"/>
            <w:vMerge w:val="restart"/>
            <w:tcBorders>
              <w:top w:val="single" w:color="auto" w:sz="4" w:space="0"/>
              <w:left w:val="single" w:color="000000" w:sz="2" w:space="0"/>
              <w:right w:val="single" w:color="000000" w:sz="2" w:space="0"/>
            </w:tcBorders>
            <w:shd w:val="clear" w:color="auto" w:fill="auto"/>
            <w:noWrap w:val="0"/>
            <w:vAlign w:val="center"/>
          </w:tcPr>
          <w:p w14:paraId="31F2169B">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举办国际化学校建设暨国际理解教育干部教师研讨培训班，组织学习中外合作办学条例等相关政策法规。</w:t>
            </w:r>
          </w:p>
        </w:tc>
        <w:tc>
          <w:tcPr>
            <w:tcW w:w="1600" w:type="dxa"/>
            <w:vMerge w:val="restart"/>
            <w:tcBorders>
              <w:top w:val="single" w:color="000000" w:sz="2" w:space="0"/>
              <w:left w:val="single" w:color="000000" w:sz="2" w:space="0"/>
              <w:right w:val="single" w:color="auto" w:sz="4" w:space="0"/>
            </w:tcBorders>
            <w:shd w:val="clear" w:color="auto" w:fill="auto"/>
            <w:noWrap w:val="0"/>
            <w:vAlign w:val="center"/>
          </w:tcPr>
          <w:p w14:paraId="02444D2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default" w:ascii="仿宋_GB2312" w:hAnsi="仿宋_GB2312" w:eastAsia="仿宋_GB2312" w:cs="仿宋_GB2312"/>
                <w:color w:val="auto"/>
                <w:kern w:val="0"/>
                <w:sz w:val="28"/>
                <w:szCs w:val="28"/>
                <w:highlight w:val="none"/>
                <w:lang w:val="en-US" w:eastAsia="zh-CN"/>
              </w:rPr>
              <w:t>9</w:t>
            </w:r>
            <w:r>
              <w:rPr>
                <w:rFonts w:hint="eastAsia" w:ascii="仿宋_GB2312" w:hAnsi="仿宋_GB2312" w:eastAsia="仿宋_GB2312" w:cs="仿宋_GB2312"/>
                <w:color w:val="auto"/>
                <w:kern w:val="0"/>
                <w:sz w:val="28"/>
                <w:szCs w:val="28"/>
                <w:highlight w:val="none"/>
                <w:lang w:val="en-US" w:eastAsia="zh-CN"/>
              </w:rPr>
              <w:t>月</w:t>
            </w:r>
            <w:r>
              <w:rPr>
                <w:rFonts w:hint="default" w:ascii="仿宋_GB2312" w:hAnsi="仿宋_GB2312" w:eastAsia="仿宋_GB2312" w:cs="仿宋_GB2312"/>
                <w:color w:val="auto"/>
                <w:kern w:val="0"/>
                <w:sz w:val="28"/>
                <w:szCs w:val="28"/>
                <w:highlight w:val="none"/>
                <w:lang w:val="en-US" w:eastAsia="zh-CN"/>
              </w:rPr>
              <w:t>-10</w:t>
            </w:r>
            <w:r>
              <w:rPr>
                <w:rFonts w:hint="eastAsia" w:ascii="仿宋_GB2312" w:hAnsi="仿宋_GB2312" w:eastAsia="仿宋_GB2312" w:cs="仿宋_GB2312"/>
                <w:color w:val="auto"/>
                <w:kern w:val="0"/>
                <w:sz w:val="28"/>
                <w:szCs w:val="28"/>
                <w:highlight w:val="none"/>
                <w:lang w:val="en-US" w:eastAsia="zh-CN"/>
              </w:rPr>
              <w:t>月</w:t>
            </w:r>
          </w:p>
        </w:tc>
        <w:tc>
          <w:tcPr>
            <w:tcW w:w="1810" w:type="dxa"/>
            <w:vMerge w:val="restart"/>
            <w:tcBorders>
              <w:top w:val="single" w:color="auto" w:sz="4" w:space="0"/>
              <w:left w:val="single" w:color="auto" w:sz="4" w:space="0"/>
              <w:right w:val="single" w:color="auto" w:sz="4" w:space="0"/>
            </w:tcBorders>
            <w:noWrap w:val="0"/>
            <w:vAlign w:val="center"/>
          </w:tcPr>
          <w:p w14:paraId="6CAEB9C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国际交流</w:t>
            </w:r>
          </w:p>
          <w:p w14:paraId="46E9982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合作处</w:t>
            </w:r>
          </w:p>
        </w:tc>
      </w:tr>
      <w:tr w14:paraId="2B6DC803">
        <w:tblPrEx>
          <w:tblCellMar>
            <w:top w:w="115" w:type="dxa"/>
            <w:left w:w="118" w:type="dxa"/>
            <w:bottom w:w="0" w:type="dxa"/>
            <w:right w:w="155" w:type="dxa"/>
          </w:tblCellMar>
        </w:tblPrEx>
        <w:trPr>
          <w:trHeight w:val="763"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009E488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22</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3B484D0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w w:val="92"/>
                <w:kern w:val="0"/>
                <w:sz w:val="28"/>
                <w:szCs w:val="28"/>
                <w:highlight w:val="none"/>
                <w:lang w:val="en-US" w:eastAsia="zh-CN"/>
              </w:rPr>
              <w:t>中外合作办学条例实施办法</w:t>
            </w:r>
          </w:p>
        </w:tc>
        <w:tc>
          <w:tcPr>
            <w:tcW w:w="7014" w:type="dxa"/>
            <w:vMerge w:val="continue"/>
            <w:tcBorders>
              <w:left w:val="single" w:color="000000" w:sz="2" w:space="0"/>
              <w:right w:val="single" w:color="000000" w:sz="2" w:space="0"/>
            </w:tcBorders>
            <w:noWrap w:val="0"/>
            <w:vAlign w:val="center"/>
          </w:tcPr>
          <w:p w14:paraId="73D3F7C2">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p>
        </w:tc>
        <w:tc>
          <w:tcPr>
            <w:tcW w:w="1600" w:type="dxa"/>
            <w:vMerge w:val="continue"/>
            <w:tcBorders>
              <w:left w:val="single" w:color="000000" w:sz="2" w:space="0"/>
              <w:right w:val="single" w:color="auto" w:sz="4" w:space="0"/>
            </w:tcBorders>
            <w:noWrap w:val="0"/>
            <w:vAlign w:val="center"/>
          </w:tcPr>
          <w:p w14:paraId="208ACE5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p>
        </w:tc>
        <w:tc>
          <w:tcPr>
            <w:tcW w:w="1810" w:type="dxa"/>
            <w:vMerge w:val="continue"/>
            <w:tcBorders>
              <w:left w:val="single" w:color="auto" w:sz="4" w:space="0"/>
              <w:right w:val="single" w:color="auto" w:sz="4" w:space="0"/>
            </w:tcBorders>
            <w:noWrap w:val="0"/>
            <w:vAlign w:val="center"/>
          </w:tcPr>
          <w:p w14:paraId="2C72D8B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348FEED9">
        <w:tblPrEx>
          <w:tblCellMar>
            <w:top w:w="115" w:type="dxa"/>
            <w:left w:w="118" w:type="dxa"/>
            <w:bottom w:w="0" w:type="dxa"/>
            <w:right w:w="155" w:type="dxa"/>
          </w:tblCellMar>
        </w:tblPrEx>
        <w:trPr>
          <w:trHeight w:val="895"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76C9516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23</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1ED561A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山东省学校招收和培养国际学生管理办法</w:t>
            </w:r>
          </w:p>
        </w:tc>
        <w:tc>
          <w:tcPr>
            <w:tcW w:w="7014" w:type="dxa"/>
            <w:vMerge w:val="continue"/>
            <w:tcBorders>
              <w:left w:val="single" w:color="000000" w:sz="2" w:space="0"/>
              <w:bottom w:val="single" w:color="000000" w:sz="2" w:space="0"/>
              <w:right w:val="single" w:color="000000" w:sz="2" w:space="0"/>
            </w:tcBorders>
            <w:noWrap w:val="0"/>
            <w:vAlign w:val="center"/>
          </w:tcPr>
          <w:p w14:paraId="421C058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bottom w:val="single" w:color="000000" w:sz="2" w:space="0"/>
              <w:right w:val="single" w:color="auto" w:sz="4" w:space="0"/>
            </w:tcBorders>
            <w:noWrap w:val="0"/>
            <w:vAlign w:val="center"/>
          </w:tcPr>
          <w:p w14:paraId="4E224A6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bottom w:val="single" w:color="000000" w:sz="2" w:space="0"/>
              <w:right w:val="single" w:color="auto" w:sz="4" w:space="0"/>
            </w:tcBorders>
            <w:noWrap w:val="0"/>
            <w:vAlign w:val="center"/>
          </w:tcPr>
          <w:p w14:paraId="3834C5F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6158A6B6">
        <w:tblPrEx>
          <w:tblCellMar>
            <w:top w:w="115" w:type="dxa"/>
            <w:left w:w="118" w:type="dxa"/>
            <w:bottom w:w="0" w:type="dxa"/>
            <w:right w:w="155" w:type="dxa"/>
          </w:tblCellMar>
        </w:tblPrEx>
        <w:trPr>
          <w:trHeight w:val="601"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687CFDD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24</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7DFEA1C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预防未成年人犯罪法</w:t>
            </w:r>
          </w:p>
        </w:tc>
        <w:tc>
          <w:tcPr>
            <w:tcW w:w="7014" w:type="dxa"/>
            <w:vMerge w:val="restart"/>
            <w:tcBorders>
              <w:top w:val="single" w:color="auto" w:sz="4" w:space="0"/>
              <w:left w:val="single" w:color="000000" w:sz="2" w:space="0"/>
              <w:right w:val="single" w:color="000000" w:sz="2" w:space="0"/>
            </w:tcBorders>
            <w:shd w:val="clear" w:color="auto" w:fill="auto"/>
            <w:noWrap w:val="0"/>
            <w:vAlign w:val="center"/>
          </w:tcPr>
          <w:p w14:paraId="6DCA0912">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1.组织开展面向</w:t>
            </w:r>
            <w:r>
              <w:rPr>
                <w:rFonts w:hint="eastAsia" w:ascii="仿宋_GB2312" w:hAnsi="仿宋_GB2312" w:eastAsia="仿宋_GB2312" w:cs="仿宋_GB2312"/>
                <w:color w:val="auto"/>
                <w:kern w:val="0"/>
                <w:sz w:val="28"/>
                <w:szCs w:val="28"/>
                <w:highlight w:val="none"/>
                <w:lang w:eastAsia="zh-CN"/>
              </w:rPr>
              <w:t>各区（市）教体局、</w:t>
            </w:r>
            <w:r>
              <w:rPr>
                <w:rFonts w:hint="eastAsia" w:ascii="仿宋_GB2312" w:hAnsi="仿宋_GB2312" w:eastAsia="仿宋_GB2312" w:cs="仿宋_GB2312"/>
                <w:color w:val="auto"/>
                <w:kern w:val="0"/>
                <w:sz w:val="28"/>
                <w:szCs w:val="28"/>
                <w:highlight w:val="none"/>
                <w:lang w:val="en-US" w:eastAsia="zh-CN"/>
              </w:rPr>
              <w:t>局属</w:t>
            </w:r>
            <w:r>
              <w:rPr>
                <w:rFonts w:hint="eastAsia" w:ascii="仿宋_GB2312" w:hAnsi="仿宋_GB2312" w:eastAsia="仿宋_GB2312" w:cs="仿宋_GB2312"/>
                <w:color w:val="auto"/>
                <w:kern w:val="0"/>
                <w:sz w:val="28"/>
                <w:szCs w:val="28"/>
                <w:highlight w:val="none"/>
                <w:lang w:eastAsia="zh-CN"/>
              </w:rPr>
              <w:t>学校的</w:t>
            </w:r>
            <w:r>
              <w:rPr>
                <w:rFonts w:hint="eastAsia" w:ascii="仿宋_GB2312" w:hAnsi="仿宋_GB2312" w:eastAsia="仿宋_GB2312" w:cs="仿宋_GB2312"/>
                <w:color w:val="auto"/>
                <w:kern w:val="0"/>
                <w:sz w:val="28"/>
                <w:szCs w:val="28"/>
                <w:highlight w:val="none"/>
                <w:lang w:val="en-US" w:eastAsia="zh-CN"/>
              </w:rPr>
              <w:t>安全法律法规政策及校园欺凌预防治理专题培训</w:t>
            </w:r>
            <w:r>
              <w:rPr>
                <w:rFonts w:hint="eastAsia" w:ascii="仿宋_GB2312" w:hAnsi="仿宋_GB2312" w:eastAsia="仿宋_GB2312" w:cs="仿宋_GB2312"/>
                <w:color w:val="auto"/>
                <w:kern w:val="0"/>
                <w:sz w:val="28"/>
                <w:szCs w:val="28"/>
                <w:highlight w:val="none"/>
                <w:lang w:eastAsia="zh-CN"/>
              </w:rPr>
              <w:t>。</w:t>
            </w:r>
          </w:p>
          <w:p w14:paraId="7A1E079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2.定期通过官微等渠道发布校园安全以及预防校园欺凌等法律知识，发布校园伤害事故典型案例，进行以案释法</w:t>
            </w:r>
            <w:r>
              <w:rPr>
                <w:rFonts w:hint="eastAsia" w:ascii="仿宋_GB2312" w:hAnsi="仿宋_GB2312" w:eastAsia="仿宋_GB2312" w:cs="仿宋_GB2312"/>
                <w:color w:val="auto"/>
                <w:kern w:val="0"/>
                <w:sz w:val="28"/>
                <w:szCs w:val="28"/>
                <w:highlight w:val="none"/>
                <w:lang w:eastAsia="zh-CN"/>
              </w:rPr>
              <w:t>。</w:t>
            </w:r>
          </w:p>
        </w:tc>
        <w:tc>
          <w:tcPr>
            <w:tcW w:w="1600" w:type="dxa"/>
            <w:vMerge w:val="restart"/>
            <w:tcBorders>
              <w:top w:val="single" w:color="000000" w:sz="2" w:space="0"/>
              <w:left w:val="single" w:color="000000" w:sz="2" w:space="0"/>
              <w:right w:val="single" w:color="auto" w:sz="4" w:space="0"/>
            </w:tcBorders>
            <w:shd w:val="clear" w:color="auto" w:fill="auto"/>
            <w:noWrap w:val="0"/>
            <w:vAlign w:val="center"/>
          </w:tcPr>
          <w:p w14:paraId="6EBF805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eastAsia="zh-CN"/>
              </w:rPr>
              <w:t>6月-1</w:t>
            </w:r>
            <w:r>
              <w:rPr>
                <w:rFonts w:hint="eastAsia" w:ascii="仿宋_GB2312" w:hAnsi="仿宋_GB2312" w:eastAsia="仿宋_GB2312" w:cs="仿宋_GB2312"/>
                <w:color w:val="auto"/>
                <w:kern w:val="0"/>
                <w:sz w:val="28"/>
                <w:szCs w:val="28"/>
                <w:highlight w:val="none"/>
                <w:lang w:val="en-US" w:eastAsia="zh-CN"/>
              </w:rPr>
              <w:t>0</w:t>
            </w:r>
            <w:r>
              <w:rPr>
                <w:rFonts w:hint="eastAsia" w:ascii="仿宋_GB2312" w:hAnsi="仿宋_GB2312" w:eastAsia="仿宋_GB2312" w:cs="仿宋_GB2312"/>
                <w:color w:val="auto"/>
                <w:kern w:val="0"/>
                <w:sz w:val="28"/>
                <w:szCs w:val="28"/>
                <w:highlight w:val="none"/>
                <w:lang w:eastAsia="zh-CN"/>
              </w:rPr>
              <w:t>月</w:t>
            </w:r>
          </w:p>
        </w:tc>
        <w:tc>
          <w:tcPr>
            <w:tcW w:w="1810" w:type="dxa"/>
            <w:vMerge w:val="restart"/>
            <w:tcBorders>
              <w:top w:val="single" w:color="auto" w:sz="4" w:space="0"/>
              <w:left w:val="single" w:color="auto" w:sz="4" w:space="0"/>
              <w:right w:val="single" w:color="auto" w:sz="4" w:space="0"/>
            </w:tcBorders>
            <w:shd w:val="clear" w:color="auto" w:fill="auto"/>
            <w:noWrap w:val="0"/>
            <w:vAlign w:val="center"/>
          </w:tcPr>
          <w:p w14:paraId="707EDF7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学校安全</w:t>
            </w:r>
          </w:p>
          <w:p w14:paraId="7618F80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管理处</w:t>
            </w:r>
          </w:p>
        </w:tc>
      </w:tr>
      <w:tr w14:paraId="7FF8B58B">
        <w:tblPrEx>
          <w:tblCellMar>
            <w:top w:w="115" w:type="dxa"/>
            <w:left w:w="118" w:type="dxa"/>
            <w:bottom w:w="0" w:type="dxa"/>
            <w:right w:w="155" w:type="dxa"/>
          </w:tblCellMar>
        </w:tblPrEx>
        <w:trPr>
          <w:trHeight w:val="534"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7483A8E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eastAsia" w:ascii="仿宋_GB2312" w:hAnsi="Times New Roman" w:eastAsia="仿宋_GB2312" w:cs="宋体"/>
                <w:bCs/>
                <w:color w:val="000000"/>
                <w:kern w:val="0"/>
                <w:sz w:val="28"/>
                <w:szCs w:val="28"/>
                <w:highlight w:val="none"/>
                <w:lang w:val="en-US" w:eastAsia="zh-CN"/>
              </w:rPr>
              <w:t>25</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FE804C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bCs/>
                <w:color w:val="auto"/>
                <w:kern w:val="0"/>
                <w:sz w:val="28"/>
                <w:szCs w:val="28"/>
                <w:highlight w:val="none"/>
                <w:lang w:val="en-US" w:eastAsia="zh-CN" w:bidi="ar-SA"/>
              </w:rPr>
            </w:pPr>
            <w:r>
              <w:rPr>
                <w:rFonts w:hint="eastAsia" w:ascii="仿宋_GB2312" w:hAnsi="仿宋_GB2312" w:eastAsia="仿宋_GB2312" w:cs="仿宋_GB2312"/>
                <w:bCs/>
                <w:color w:val="auto"/>
                <w:kern w:val="0"/>
                <w:sz w:val="28"/>
                <w:szCs w:val="28"/>
                <w:highlight w:val="none"/>
                <w:lang w:val="en-US" w:eastAsia="zh-CN" w:bidi="ar-SA"/>
              </w:rPr>
              <w:t>安全生产法</w:t>
            </w:r>
          </w:p>
        </w:tc>
        <w:tc>
          <w:tcPr>
            <w:tcW w:w="7014" w:type="dxa"/>
            <w:vMerge w:val="continue"/>
            <w:tcBorders>
              <w:left w:val="single" w:color="000000" w:sz="2" w:space="0"/>
              <w:right w:val="single" w:color="000000" w:sz="2" w:space="0"/>
            </w:tcBorders>
            <w:shd w:val="clear" w:color="auto" w:fill="auto"/>
            <w:noWrap w:val="0"/>
            <w:vAlign w:val="center"/>
          </w:tcPr>
          <w:p w14:paraId="3CAEA2B4">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right w:val="single" w:color="auto" w:sz="4" w:space="0"/>
            </w:tcBorders>
            <w:shd w:val="clear" w:color="auto" w:fill="auto"/>
            <w:noWrap w:val="0"/>
            <w:vAlign w:val="center"/>
          </w:tcPr>
          <w:p w14:paraId="1B87C19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c>
          <w:tcPr>
            <w:tcW w:w="1810" w:type="dxa"/>
            <w:vMerge w:val="continue"/>
            <w:tcBorders>
              <w:left w:val="single" w:color="auto" w:sz="4" w:space="0"/>
              <w:right w:val="single" w:color="auto" w:sz="4" w:space="0"/>
            </w:tcBorders>
            <w:shd w:val="clear" w:color="auto" w:fill="auto"/>
            <w:noWrap w:val="0"/>
            <w:vAlign w:val="center"/>
          </w:tcPr>
          <w:p w14:paraId="175B411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r>
      <w:tr w14:paraId="2A3EEBE9">
        <w:tblPrEx>
          <w:tblCellMar>
            <w:top w:w="115" w:type="dxa"/>
            <w:left w:w="118" w:type="dxa"/>
            <w:bottom w:w="0" w:type="dxa"/>
            <w:right w:w="155" w:type="dxa"/>
          </w:tblCellMar>
        </w:tblPrEx>
        <w:trPr>
          <w:trHeight w:val="601"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1831361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26</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52F4E0C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rPr>
              <w:t>学生伤害事故处理办法</w:t>
            </w:r>
          </w:p>
        </w:tc>
        <w:tc>
          <w:tcPr>
            <w:tcW w:w="7014" w:type="dxa"/>
            <w:vMerge w:val="continue"/>
            <w:tcBorders>
              <w:left w:val="single" w:color="000000" w:sz="2" w:space="0"/>
              <w:right w:val="single" w:color="000000" w:sz="2" w:space="0"/>
            </w:tcBorders>
            <w:noWrap w:val="0"/>
            <w:vAlign w:val="center"/>
          </w:tcPr>
          <w:p w14:paraId="5CD74317">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p>
        </w:tc>
        <w:tc>
          <w:tcPr>
            <w:tcW w:w="1600" w:type="dxa"/>
            <w:vMerge w:val="continue"/>
            <w:tcBorders>
              <w:left w:val="single" w:color="000000" w:sz="2" w:space="0"/>
              <w:right w:val="single" w:color="auto" w:sz="4" w:space="0"/>
            </w:tcBorders>
            <w:noWrap w:val="0"/>
            <w:vAlign w:val="center"/>
          </w:tcPr>
          <w:p w14:paraId="615674D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p>
        </w:tc>
        <w:tc>
          <w:tcPr>
            <w:tcW w:w="1810" w:type="dxa"/>
            <w:vMerge w:val="continue"/>
            <w:tcBorders>
              <w:left w:val="single" w:color="auto" w:sz="4" w:space="0"/>
              <w:right w:val="single" w:color="auto" w:sz="4" w:space="0"/>
            </w:tcBorders>
            <w:noWrap w:val="0"/>
            <w:vAlign w:val="center"/>
          </w:tcPr>
          <w:p w14:paraId="562893B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314BD568">
        <w:tblPrEx>
          <w:tblCellMar>
            <w:top w:w="115" w:type="dxa"/>
            <w:left w:w="118" w:type="dxa"/>
            <w:bottom w:w="0" w:type="dxa"/>
            <w:right w:w="155" w:type="dxa"/>
          </w:tblCellMar>
        </w:tblPrEx>
        <w:trPr>
          <w:trHeight w:val="557"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692F246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27</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2034746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rPr>
              <w:t>山东省学校安全条例</w:t>
            </w:r>
          </w:p>
        </w:tc>
        <w:tc>
          <w:tcPr>
            <w:tcW w:w="7014" w:type="dxa"/>
            <w:vMerge w:val="continue"/>
            <w:tcBorders>
              <w:left w:val="single" w:color="000000" w:sz="2" w:space="0"/>
              <w:right w:val="single" w:color="000000" w:sz="2" w:space="0"/>
            </w:tcBorders>
            <w:noWrap w:val="0"/>
            <w:vAlign w:val="center"/>
          </w:tcPr>
          <w:p w14:paraId="02A677D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right w:val="single" w:color="auto" w:sz="4" w:space="0"/>
            </w:tcBorders>
            <w:noWrap w:val="0"/>
            <w:vAlign w:val="center"/>
          </w:tcPr>
          <w:p w14:paraId="67E7F51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right w:val="single" w:color="auto" w:sz="4" w:space="0"/>
            </w:tcBorders>
            <w:noWrap w:val="0"/>
            <w:vAlign w:val="center"/>
          </w:tcPr>
          <w:p w14:paraId="6C33742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2DCE040D">
        <w:tblPrEx>
          <w:tblCellMar>
            <w:top w:w="115" w:type="dxa"/>
            <w:left w:w="118" w:type="dxa"/>
            <w:bottom w:w="0" w:type="dxa"/>
            <w:right w:w="155" w:type="dxa"/>
          </w:tblCellMar>
        </w:tblPrEx>
        <w:trPr>
          <w:trHeight w:val="524"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22E22E2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28</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20F69A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青岛市学校安全管理办法</w:t>
            </w:r>
          </w:p>
        </w:tc>
        <w:tc>
          <w:tcPr>
            <w:tcW w:w="7014" w:type="dxa"/>
            <w:vMerge w:val="continue"/>
            <w:tcBorders>
              <w:left w:val="single" w:color="000000" w:sz="2" w:space="0"/>
              <w:bottom w:val="single" w:color="000000" w:sz="2" w:space="0"/>
              <w:right w:val="single" w:color="000000" w:sz="2" w:space="0"/>
            </w:tcBorders>
            <w:noWrap w:val="0"/>
            <w:vAlign w:val="center"/>
          </w:tcPr>
          <w:p w14:paraId="56D533E7">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bottom w:val="single" w:color="000000" w:sz="2" w:space="0"/>
              <w:right w:val="single" w:color="auto" w:sz="4" w:space="0"/>
            </w:tcBorders>
            <w:noWrap w:val="0"/>
            <w:vAlign w:val="center"/>
          </w:tcPr>
          <w:p w14:paraId="7C2B870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bottom w:val="single" w:color="000000" w:sz="2" w:space="0"/>
              <w:right w:val="single" w:color="auto" w:sz="4" w:space="0"/>
            </w:tcBorders>
            <w:noWrap w:val="0"/>
            <w:vAlign w:val="center"/>
          </w:tcPr>
          <w:p w14:paraId="38D0E69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0154E6BF">
        <w:tblPrEx>
          <w:tblCellMar>
            <w:top w:w="115" w:type="dxa"/>
            <w:left w:w="118" w:type="dxa"/>
            <w:bottom w:w="0" w:type="dxa"/>
            <w:right w:w="155" w:type="dxa"/>
          </w:tblCellMar>
        </w:tblPrEx>
        <w:trPr>
          <w:trHeight w:val="721"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75C4869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29</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65D557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eastAsia="zh-CN"/>
              </w:rPr>
              <w:t>教师法</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2DF62F50">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lang w:val="en-US" w:eastAsia="zh-CN"/>
              </w:rPr>
              <w:t>结合教育家精神专题学习、师德教育月和教师节等活动，组织教师开展教师法专题学习，提升教师师德修养和法律素养，提升教师依法从教能力。</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0A3BB4B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spacing w:val="-23"/>
                <w:kern w:val="0"/>
                <w:sz w:val="28"/>
                <w:szCs w:val="28"/>
                <w:lang w:val="en-US" w:eastAsia="zh-CN"/>
              </w:rPr>
              <w:t>9月</w:t>
            </w:r>
          </w:p>
        </w:tc>
        <w:tc>
          <w:tcPr>
            <w:tcW w:w="18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38C7D1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rPr>
              <w:t>教师工作处</w:t>
            </w:r>
          </w:p>
        </w:tc>
      </w:tr>
      <w:tr w14:paraId="0DD14713">
        <w:tblPrEx>
          <w:tblCellMar>
            <w:top w:w="115" w:type="dxa"/>
            <w:left w:w="118" w:type="dxa"/>
            <w:bottom w:w="0" w:type="dxa"/>
            <w:right w:w="155" w:type="dxa"/>
          </w:tblCellMar>
        </w:tblPrEx>
        <w:trPr>
          <w:trHeight w:val="529"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5A1298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30</w:t>
            </w:r>
          </w:p>
        </w:tc>
        <w:tc>
          <w:tcPr>
            <w:tcW w:w="3356" w:type="dxa"/>
            <w:tcBorders>
              <w:top w:val="single" w:color="000000" w:sz="2" w:space="0"/>
              <w:left w:val="single" w:color="000000" w:sz="2" w:space="0"/>
              <w:bottom w:val="single" w:color="000000" w:sz="2" w:space="0"/>
              <w:right w:val="single" w:color="000000" w:sz="2" w:space="0"/>
            </w:tcBorders>
            <w:shd w:val="clear" w:color="auto" w:fill="auto"/>
            <w:vAlign w:val="center"/>
          </w:tcPr>
          <w:p w14:paraId="16FD9B7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lang w:val="en-US" w:eastAsia="zh-CN"/>
              </w:rPr>
              <w:t>教育督导条例</w:t>
            </w:r>
          </w:p>
        </w:tc>
        <w:tc>
          <w:tcPr>
            <w:tcW w:w="7014" w:type="dxa"/>
            <w:vMerge w:val="restart"/>
            <w:tcBorders>
              <w:top w:val="single" w:color="auto" w:sz="4" w:space="0"/>
              <w:left w:val="single" w:color="000000" w:sz="2" w:space="0"/>
              <w:bottom w:val="single" w:color="000000" w:sz="2" w:space="0"/>
              <w:right w:val="single" w:color="000000" w:sz="2" w:space="0"/>
            </w:tcBorders>
            <w:shd w:val="clear" w:color="auto" w:fill="auto"/>
            <w:vAlign w:val="center"/>
          </w:tcPr>
          <w:p w14:paraId="23044821">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lang w:val="en-US" w:eastAsia="zh-CN"/>
              </w:rPr>
              <w:t>开展督学培训，进行《教育督导条例》《山东省教育督导条例》《青岛市教育督导条例》学习研讨，提升依法实施教育督导的能力和水平。</w:t>
            </w:r>
          </w:p>
        </w:tc>
        <w:tc>
          <w:tcPr>
            <w:tcW w:w="1600" w:type="dxa"/>
            <w:vMerge w:val="restart"/>
            <w:tcBorders>
              <w:top w:val="single" w:color="000000" w:sz="2" w:space="0"/>
              <w:left w:val="single" w:color="000000" w:sz="2" w:space="0"/>
              <w:bottom w:val="single" w:color="000000" w:sz="2" w:space="0"/>
              <w:right w:val="single" w:color="auto" w:sz="4" w:space="0"/>
            </w:tcBorders>
            <w:shd w:val="clear" w:color="auto" w:fill="auto"/>
            <w:vAlign w:val="center"/>
          </w:tcPr>
          <w:p w14:paraId="494250B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bCs/>
                <w:color w:val="auto"/>
                <w:kern w:val="0"/>
                <w:sz w:val="28"/>
                <w:szCs w:val="28"/>
                <w:lang w:val="en-US" w:eastAsia="zh-CN"/>
              </w:rPr>
              <w:t>3月-12月</w:t>
            </w:r>
          </w:p>
        </w:tc>
        <w:tc>
          <w:tcPr>
            <w:tcW w:w="1810" w:type="dxa"/>
            <w:vMerge w:val="restart"/>
            <w:tcBorders>
              <w:top w:val="single" w:color="auto" w:sz="4" w:space="0"/>
              <w:left w:val="single" w:color="auto" w:sz="4" w:space="0"/>
              <w:bottom w:val="single" w:color="auto" w:sz="4" w:space="0"/>
              <w:right w:val="single" w:color="auto" w:sz="4" w:space="0"/>
            </w:tcBorders>
            <w:vAlign w:val="center"/>
          </w:tcPr>
          <w:p w14:paraId="171CDF7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bCs/>
                <w:color w:val="auto"/>
                <w:kern w:val="0"/>
                <w:sz w:val="28"/>
                <w:szCs w:val="28"/>
                <w:highlight w:val="none"/>
                <w:lang w:val="en-US" w:eastAsia="zh-CN"/>
              </w:rPr>
              <w:t>教育督导室</w:t>
            </w:r>
          </w:p>
        </w:tc>
      </w:tr>
      <w:tr w14:paraId="1D0B723C">
        <w:tblPrEx>
          <w:tblCellMar>
            <w:top w:w="115" w:type="dxa"/>
            <w:left w:w="118" w:type="dxa"/>
            <w:bottom w:w="0" w:type="dxa"/>
            <w:right w:w="155" w:type="dxa"/>
          </w:tblCellMar>
        </w:tblPrEx>
        <w:trPr>
          <w:trHeight w:val="454"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24C6635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31</w:t>
            </w:r>
          </w:p>
        </w:tc>
        <w:tc>
          <w:tcPr>
            <w:tcW w:w="3356" w:type="dxa"/>
            <w:tcBorders>
              <w:top w:val="single" w:color="000000" w:sz="2" w:space="0"/>
              <w:left w:val="single" w:color="000000" w:sz="2" w:space="0"/>
              <w:bottom w:val="single" w:color="000000" w:sz="2" w:space="0"/>
              <w:right w:val="single" w:color="000000" w:sz="2" w:space="0"/>
            </w:tcBorders>
            <w:vAlign w:val="center"/>
          </w:tcPr>
          <w:p w14:paraId="6C66BD3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lang w:val="en-US" w:eastAsia="zh-CN"/>
              </w:rPr>
              <w:t>山东省教育督导条例</w:t>
            </w:r>
          </w:p>
        </w:tc>
        <w:tc>
          <w:tcPr>
            <w:tcW w:w="7014" w:type="dxa"/>
            <w:vMerge w:val="continue"/>
            <w:tcBorders>
              <w:top w:val="single" w:color="000000" w:sz="2" w:space="0"/>
              <w:left w:val="single" w:color="000000" w:sz="2" w:space="0"/>
              <w:bottom w:val="single" w:color="000000" w:sz="2" w:space="0"/>
              <w:right w:val="single" w:color="000000" w:sz="2" w:space="0"/>
            </w:tcBorders>
            <w:vAlign w:val="center"/>
          </w:tcPr>
          <w:p w14:paraId="56AD6FA1">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bidi="ar-SA"/>
              </w:rPr>
            </w:pPr>
          </w:p>
        </w:tc>
        <w:tc>
          <w:tcPr>
            <w:tcW w:w="1600" w:type="dxa"/>
            <w:vMerge w:val="continue"/>
            <w:tcBorders>
              <w:top w:val="single" w:color="000000" w:sz="2" w:space="0"/>
              <w:left w:val="single" w:color="000000" w:sz="2" w:space="0"/>
              <w:bottom w:val="single" w:color="000000" w:sz="2" w:space="0"/>
              <w:right w:val="single" w:color="000000" w:sz="2" w:space="0"/>
            </w:tcBorders>
            <w:vAlign w:val="center"/>
          </w:tcPr>
          <w:p w14:paraId="660353E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bidi="ar-SA"/>
              </w:rPr>
            </w:pPr>
          </w:p>
        </w:tc>
        <w:tc>
          <w:tcPr>
            <w:tcW w:w="1810" w:type="dxa"/>
            <w:vMerge w:val="continue"/>
            <w:tcBorders>
              <w:top w:val="single" w:color="auto" w:sz="4" w:space="0"/>
              <w:left w:val="single" w:color="000000" w:sz="2" w:space="0"/>
              <w:bottom w:val="single" w:color="000000" w:sz="2" w:space="0"/>
              <w:right w:val="single" w:color="000000" w:sz="2" w:space="0"/>
            </w:tcBorders>
            <w:vAlign w:val="center"/>
          </w:tcPr>
          <w:p w14:paraId="5E05D8D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5F56BC53">
        <w:tblPrEx>
          <w:tblCellMar>
            <w:top w:w="115" w:type="dxa"/>
            <w:left w:w="118" w:type="dxa"/>
            <w:bottom w:w="0" w:type="dxa"/>
            <w:right w:w="155" w:type="dxa"/>
          </w:tblCellMar>
        </w:tblPrEx>
        <w:trPr>
          <w:trHeight w:val="569"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vAlign w:val="center"/>
          </w:tcPr>
          <w:p w14:paraId="6DD647C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auto"/>
                <w:kern w:val="0"/>
                <w:sz w:val="28"/>
                <w:szCs w:val="28"/>
                <w:highlight w:val="none"/>
                <w:lang w:val="en-US" w:eastAsia="zh-CN" w:bidi="ar-SA"/>
              </w:rPr>
            </w:pPr>
            <w:r>
              <w:rPr>
                <w:rFonts w:hint="eastAsia" w:ascii="仿宋_GB2312" w:hAnsi="Times New Roman" w:eastAsia="仿宋_GB2312" w:cs="宋体"/>
                <w:bCs/>
                <w:color w:val="auto"/>
                <w:kern w:val="0"/>
                <w:sz w:val="28"/>
                <w:szCs w:val="28"/>
                <w:highlight w:val="none"/>
                <w:lang w:val="en-US" w:eastAsia="zh-CN"/>
              </w:rPr>
              <w:t>32</w:t>
            </w:r>
          </w:p>
        </w:tc>
        <w:tc>
          <w:tcPr>
            <w:tcW w:w="3356" w:type="dxa"/>
            <w:tcBorders>
              <w:top w:val="single" w:color="000000" w:sz="2" w:space="0"/>
              <w:left w:val="single" w:color="000000" w:sz="2" w:space="0"/>
              <w:bottom w:val="single" w:color="000000" w:sz="2" w:space="0"/>
              <w:right w:val="single" w:color="000000" w:sz="2" w:space="0"/>
            </w:tcBorders>
            <w:vAlign w:val="center"/>
          </w:tcPr>
          <w:p w14:paraId="168E9BC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lang w:val="en-US" w:eastAsia="zh-CN"/>
              </w:rPr>
              <w:t>青岛市教育督导条例</w:t>
            </w:r>
          </w:p>
        </w:tc>
        <w:tc>
          <w:tcPr>
            <w:tcW w:w="7014" w:type="dxa"/>
            <w:vMerge w:val="continue"/>
            <w:tcBorders>
              <w:top w:val="single" w:color="000000" w:sz="2" w:space="0"/>
              <w:left w:val="single" w:color="000000" w:sz="2" w:space="0"/>
              <w:bottom w:val="single" w:color="000000" w:sz="2" w:space="0"/>
              <w:right w:val="single" w:color="000000" w:sz="2" w:space="0"/>
            </w:tcBorders>
            <w:vAlign w:val="center"/>
          </w:tcPr>
          <w:p w14:paraId="7B8DA256">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top w:val="single" w:color="000000" w:sz="2" w:space="0"/>
              <w:left w:val="single" w:color="000000" w:sz="2" w:space="0"/>
              <w:bottom w:val="single" w:color="000000" w:sz="2" w:space="0"/>
              <w:right w:val="single" w:color="000000" w:sz="2" w:space="0"/>
            </w:tcBorders>
            <w:vAlign w:val="center"/>
          </w:tcPr>
          <w:p w14:paraId="296ED0A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top w:val="single" w:color="000000" w:sz="2" w:space="0"/>
              <w:left w:val="single" w:color="000000" w:sz="2" w:space="0"/>
              <w:bottom w:val="single" w:color="000000" w:sz="2" w:space="0"/>
              <w:right w:val="single" w:color="000000" w:sz="2" w:space="0"/>
            </w:tcBorders>
            <w:vAlign w:val="center"/>
          </w:tcPr>
          <w:p w14:paraId="4E01E2F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227A43DF">
        <w:tblPrEx>
          <w:tblCellMar>
            <w:top w:w="115" w:type="dxa"/>
            <w:left w:w="118" w:type="dxa"/>
            <w:bottom w:w="0" w:type="dxa"/>
            <w:right w:w="155" w:type="dxa"/>
          </w:tblCellMar>
        </w:tblPrEx>
        <w:trPr>
          <w:trHeight w:val="1618"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0D7C61B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auto"/>
                <w:kern w:val="0"/>
                <w:sz w:val="28"/>
                <w:szCs w:val="28"/>
                <w:highlight w:val="none"/>
                <w:lang w:val="en-US" w:eastAsia="zh-CN" w:bidi="ar-SA"/>
              </w:rPr>
            </w:pPr>
            <w:r>
              <w:rPr>
                <w:rFonts w:hint="eastAsia" w:ascii="仿宋_GB2312" w:hAnsi="Times New Roman" w:eastAsia="仿宋_GB2312" w:cs="宋体"/>
                <w:bCs/>
                <w:color w:val="auto"/>
                <w:kern w:val="0"/>
                <w:sz w:val="28"/>
                <w:szCs w:val="28"/>
                <w:highlight w:val="none"/>
                <w:lang w:val="en-US" w:eastAsia="zh-CN"/>
              </w:rPr>
              <w:t>33</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4C44F84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中国共产党章程</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3FE60903">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将中国共产党章程学习纳入党支部（总支）规范化建设月工作清单、每周一学、每季一考中，通过“三会一课”加强专题学习，开展“支部书记讲党课”“普通党员讲党课”知识竞赛等活动。</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2B855BA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6月-12月</w:t>
            </w:r>
          </w:p>
        </w:tc>
        <w:tc>
          <w:tcPr>
            <w:tcW w:w="1810" w:type="dxa"/>
            <w:tcBorders>
              <w:top w:val="single" w:color="auto" w:sz="4" w:space="0"/>
              <w:left w:val="single" w:color="auto" w:sz="4" w:space="0"/>
              <w:bottom w:val="single" w:color="auto" w:sz="4" w:space="0"/>
              <w:right w:val="single" w:color="auto" w:sz="4" w:space="0"/>
            </w:tcBorders>
            <w:noWrap w:val="0"/>
            <w:vAlign w:val="center"/>
          </w:tcPr>
          <w:p w14:paraId="03705A1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机关党委</w:t>
            </w:r>
          </w:p>
        </w:tc>
      </w:tr>
      <w:tr w14:paraId="34BA549B">
        <w:tblPrEx>
          <w:tblCellMar>
            <w:top w:w="115" w:type="dxa"/>
            <w:left w:w="118" w:type="dxa"/>
            <w:bottom w:w="0" w:type="dxa"/>
            <w:right w:w="155" w:type="dxa"/>
          </w:tblCellMar>
        </w:tblPrEx>
        <w:trPr>
          <w:trHeight w:val="699" w:hRule="atLeast"/>
          <w:tblHeader/>
          <w:jc w:val="center"/>
        </w:trPr>
        <w:tc>
          <w:tcPr>
            <w:tcW w:w="989"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6DCA4BD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auto"/>
                <w:kern w:val="0"/>
                <w:sz w:val="28"/>
                <w:szCs w:val="28"/>
                <w:highlight w:val="none"/>
                <w:lang w:val="en-US" w:eastAsia="zh-CN" w:bidi="ar-SA"/>
              </w:rPr>
            </w:pPr>
            <w:r>
              <w:rPr>
                <w:rFonts w:hint="eastAsia" w:ascii="仿宋_GB2312" w:hAnsi="Times New Roman" w:eastAsia="仿宋_GB2312" w:cs="宋体"/>
                <w:bCs/>
                <w:color w:val="auto"/>
                <w:kern w:val="0"/>
                <w:sz w:val="28"/>
                <w:szCs w:val="28"/>
                <w:highlight w:val="none"/>
                <w:lang w:val="en-US" w:eastAsia="zh-CN"/>
              </w:rPr>
              <w:t>34</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31CA025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中国共产党纪律</w:t>
            </w:r>
          </w:p>
          <w:p w14:paraId="71F4B28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处分条例</w:t>
            </w:r>
          </w:p>
        </w:tc>
        <w:tc>
          <w:tcPr>
            <w:tcW w:w="7014" w:type="dxa"/>
            <w:tcBorders>
              <w:top w:val="single" w:color="000000" w:sz="2" w:space="0"/>
              <w:left w:val="single" w:color="000000" w:sz="2" w:space="0"/>
              <w:bottom w:val="single" w:color="000000" w:sz="2" w:space="0"/>
              <w:right w:val="single" w:color="000000" w:sz="2" w:space="0"/>
            </w:tcBorders>
            <w:noWrap w:val="0"/>
            <w:vAlign w:val="center"/>
          </w:tcPr>
          <w:p w14:paraId="68DEA5FE">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1.将新修订的中国共产党纪律处分条例学习纳入党员干部培训课程，组织开展文件解读、专题讲座、警示教育等活动。</w:t>
            </w:r>
          </w:p>
          <w:p w14:paraId="607D3149">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2.将中国共产党纪律处分条例学习纳入组织纪检干部专题培训</w:t>
            </w:r>
            <w:r>
              <w:rPr>
                <w:rFonts w:hint="eastAsia" w:ascii="仿宋_GB2312" w:hAnsi="仿宋_GB2312" w:eastAsia="仿宋_GB2312" w:cs="仿宋_GB2312"/>
                <w:color w:val="auto"/>
                <w:kern w:val="0"/>
                <w:sz w:val="28"/>
                <w:szCs w:val="28"/>
                <w:highlight w:val="none"/>
                <w:lang w:eastAsia="zh-CN"/>
              </w:rPr>
              <w:t>。</w:t>
            </w:r>
          </w:p>
        </w:tc>
        <w:tc>
          <w:tcPr>
            <w:tcW w:w="1600" w:type="dxa"/>
            <w:tcBorders>
              <w:top w:val="single" w:color="000000" w:sz="2" w:space="0"/>
              <w:left w:val="single" w:color="000000" w:sz="2" w:space="0"/>
              <w:bottom w:val="single" w:color="000000" w:sz="2" w:space="0"/>
              <w:right w:val="single" w:color="000000" w:sz="2" w:space="0"/>
            </w:tcBorders>
            <w:noWrap w:val="0"/>
            <w:vAlign w:val="center"/>
          </w:tcPr>
          <w:p w14:paraId="338E1E5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lang w:eastAsia="zh-CN"/>
              </w:rPr>
              <w:t>月-12月</w:t>
            </w:r>
          </w:p>
        </w:tc>
        <w:tc>
          <w:tcPr>
            <w:tcW w:w="1810" w:type="dxa"/>
            <w:tcBorders>
              <w:top w:val="single" w:color="auto" w:sz="4" w:space="0"/>
              <w:left w:val="single" w:color="000000" w:sz="2" w:space="0"/>
              <w:bottom w:val="single" w:color="000000" w:sz="2" w:space="0"/>
              <w:right w:val="single" w:color="000000" w:sz="2" w:space="0"/>
            </w:tcBorders>
            <w:noWrap w:val="0"/>
            <w:vAlign w:val="center"/>
          </w:tcPr>
          <w:p w14:paraId="1254A8E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机关纪委</w:t>
            </w:r>
          </w:p>
        </w:tc>
      </w:tr>
      <w:tr w14:paraId="59068095">
        <w:tblPrEx>
          <w:tblCellMar>
            <w:top w:w="115" w:type="dxa"/>
            <w:left w:w="118" w:type="dxa"/>
            <w:bottom w:w="0" w:type="dxa"/>
            <w:right w:w="155" w:type="dxa"/>
          </w:tblCellMar>
        </w:tblPrEx>
        <w:trPr>
          <w:trHeight w:val="898" w:hRule="atLeast"/>
          <w:tblHeader/>
          <w:jc w:val="center"/>
        </w:trPr>
        <w:tc>
          <w:tcPr>
            <w:tcW w:w="989" w:type="dxa"/>
            <w:tcBorders>
              <w:top w:val="single" w:color="000000" w:sz="2" w:space="0"/>
              <w:left w:val="single" w:color="000000" w:sz="2" w:space="0"/>
              <w:bottom w:val="single" w:color="auto" w:sz="4" w:space="0"/>
              <w:right w:val="single" w:color="000000" w:sz="2" w:space="0"/>
            </w:tcBorders>
            <w:shd w:val="clear" w:color="auto" w:fill="auto"/>
            <w:noWrap w:val="0"/>
            <w:vAlign w:val="center"/>
          </w:tcPr>
          <w:p w14:paraId="4479D63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35</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981183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lang w:val="en-US" w:eastAsia="zh-CN"/>
              </w:rPr>
              <w:t>教学成果奖励条例</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701AEF78">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开展教学成果培育和相关培训活动，宣传《教学成果奖励条例》，推广优秀教学成果，培育优秀教学成果奖。</w:t>
            </w:r>
          </w:p>
        </w:tc>
        <w:tc>
          <w:tcPr>
            <w:tcW w:w="1600" w:type="dxa"/>
            <w:tcBorders>
              <w:top w:val="single" w:color="000000" w:sz="2" w:space="0"/>
              <w:left w:val="single" w:color="000000" w:sz="2" w:space="0"/>
              <w:bottom w:val="single" w:color="000000" w:sz="2" w:space="0"/>
              <w:right w:val="single" w:color="auto" w:sz="4" w:space="0"/>
            </w:tcBorders>
            <w:shd w:val="clear" w:color="auto" w:fill="auto"/>
            <w:noWrap w:val="0"/>
            <w:vAlign w:val="center"/>
          </w:tcPr>
          <w:p w14:paraId="05E030F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10月</w:t>
            </w:r>
          </w:p>
        </w:tc>
        <w:tc>
          <w:tcPr>
            <w:tcW w:w="1810" w:type="dxa"/>
            <w:tcBorders>
              <w:top w:val="single" w:color="auto" w:sz="4" w:space="0"/>
              <w:left w:val="single" w:color="auto" w:sz="4" w:space="0"/>
              <w:bottom w:val="single" w:color="auto" w:sz="4" w:space="0"/>
              <w:right w:val="single" w:color="auto" w:sz="4" w:space="0"/>
            </w:tcBorders>
            <w:noWrap w:val="0"/>
            <w:vAlign w:val="center"/>
          </w:tcPr>
          <w:p w14:paraId="46742B7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eastAsia="zh-CN"/>
              </w:rPr>
              <w:t>市教科院</w:t>
            </w:r>
          </w:p>
        </w:tc>
      </w:tr>
      <w:tr w14:paraId="525038EB">
        <w:tblPrEx>
          <w:tblCellMar>
            <w:top w:w="115" w:type="dxa"/>
            <w:left w:w="118" w:type="dxa"/>
            <w:bottom w:w="0" w:type="dxa"/>
            <w:right w:w="155" w:type="dxa"/>
          </w:tblCellMar>
        </w:tblPrEx>
        <w:trPr>
          <w:trHeight w:val="843"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4C34D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36</w:t>
            </w:r>
          </w:p>
        </w:tc>
        <w:tc>
          <w:tcPr>
            <w:tcW w:w="3356" w:type="dxa"/>
            <w:tcBorders>
              <w:top w:val="single" w:color="000000" w:sz="2" w:space="0"/>
              <w:left w:val="single" w:color="auto" w:sz="4" w:space="0"/>
              <w:bottom w:val="single" w:color="000000" w:sz="2" w:space="0"/>
              <w:right w:val="single" w:color="000000" w:sz="2" w:space="0"/>
            </w:tcBorders>
            <w:noWrap w:val="0"/>
            <w:vAlign w:val="center"/>
          </w:tcPr>
          <w:p w14:paraId="1EA18BA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w w:val="92"/>
                <w:kern w:val="0"/>
                <w:sz w:val="28"/>
                <w:szCs w:val="28"/>
                <w:highlight w:val="none"/>
                <w:lang w:eastAsia="zh-CN"/>
              </w:rPr>
              <w:t>高等教育自学考试暂行条例</w:t>
            </w:r>
          </w:p>
        </w:tc>
        <w:tc>
          <w:tcPr>
            <w:tcW w:w="7014" w:type="dxa"/>
            <w:vMerge w:val="restart"/>
            <w:tcBorders>
              <w:top w:val="single" w:color="000000" w:sz="2" w:space="0"/>
              <w:left w:val="single" w:color="000000" w:sz="2" w:space="0"/>
              <w:right w:val="single" w:color="000000" w:sz="2" w:space="0"/>
            </w:tcBorders>
            <w:noWrap w:val="0"/>
            <w:vAlign w:val="center"/>
          </w:tcPr>
          <w:p w14:paraId="39892CE1">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b w:val="0"/>
                <w:i w:val="0"/>
                <w:strike w:val="0"/>
                <w:color w:val="auto"/>
                <w:spacing w:val="0"/>
                <w:sz w:val="28"/>
                <w:szCs w:val="28"/>
                <w:u w:val="none"/>
                <w:lang w:val="en-US" w:eastAsia="zh-CN"/>
              </w:rPr>
            </w:pPr>
            <w:r>
              <w:rPr>
                <w:rFonts w:hint="eastAsia" w:ascii="仿宋_GB2312" w:hAnsi="仿宋_GB2312" w:eastAsia="仿宋_GB2312" w:cs="仿宋_GB2312"/>
                <w:i w:val="0"/>
                <w:color w:val="auto"/>
                <w:kern w:val="0"/>
                <w:sz w:val="28"/>
                <w:szCs w:val="28"/>
                <w:u w:val="none"/>
                <w:lang w:val="en-US" w:eastAsia="zh-CN" w:bidi="ar"/>
              </w:rPr>
              <w:t>1.相关考试前，就国家教育考试违规违法处理等内容，对市、区市招生考试机构工作人员及考点考务人员进行专题培训。</w:t>
            </w:r>
            <w:r>
              <w:rPr>
                <w:rFonts w:hint="eastAsia" w:ascii="仿宋_GB2312" w:hAnsi="仿宋_GB2312" w:eastAsia="仿宋_GB2312" w:cs="仿宋_GB2312"/>
                <w:i w:val="0"/>
                <w:color w:val="auto"/>
                <w:kern w:val="0"/>
                <w:sz w:val="28"/>
                <w:szCs w:val="28"/>
                <w:u w:val="none"/>
                <w:lang w:val="en-US" w:eastAsia="zh-CN" w:bidi="ar"/>
              </w:rPr>
              <w:br w:type="textWrapping"/>
            </w:r>
            <w:r>
              <w:rPr>
                <w:rFonts w:hint="eastAsia" w:ascii="仿宋_GB2312" w:hAnsi="仿宋_GB2312" w:eastAsia="仿宋_GB2312" w:cs="仿宋_GB2312"/>
                <w:i w:val="0"/>
                <w:color w:val="auto"/>
                <w:kern w:val="0"/>
                <w:sz w:val="28"/>
                <w:szCs w:val="28"/>
                <w:u w:val="none"/>
                <w:lang w:val="en-US" w:eastAsia="zh-CN" w:bidi="ar"/>
              </w:rPr>
              <w:t>2.通过招生考试网站公布教育考试警示片、发布考生须知及致考生的一封信、以案说法警示案例、组织考生签订诚信考试承诺书、在考点设置教育宣传栏等形式，宣传相关法律法规，做好对考生的普法工作。</w:t>
            </w:r>
          </w:p>
        </w:tc>
        <w:tc>
          <w:tcPr>
            <w:tcW w:w="1600" w:type="dxa"/>
            <w:vMerge w:val="restart"/>
            <w:tcBorders>
              <w:top w:val="single" w:color="000000" w:sz="2" w:space="0"/>
              <w:left w:val="single" w:color="000000" w:sz="2" w:space="0"/>
              <w:right w:val="single" w:color="auto" w:sz="4" w:space="0"/>
            </w:tcBorders>
            <w:noWrap w:val="0"/>
            <w:vAlign w:val="center"/>
          </w:tcPr>
          <w:p w14:paraId="637AE01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color w:val="auto"/>
                <w:sz w:val="28"/>
                <w:szCs w:val="28"/>
              </w:rPr>
            </w:pPr>
            <w:r>
              <w:rPr>
                <w:rFonts w:ascii="仿宋_GB2312" w:hAnsi="仿宋_GB2312" w:eastAsia="仿宋_GB2312" w:cs="仿宋_GB2312"/>
                <w:b w:val="0"/>
                <w:i w:val="0"/>
                <w:strike w:val="0"/>
                <w:color w:val="auto"/>
                <w:spacing w:val="0"/>
                <w:sz w:val="28"/>
                <w:szCs w:val="28"/>
                <w:u w:val="none"/>
              </w:rPr>
              <w:t>考试前以及考试期间</w:t>
            </w:r>
          </w:p>
          <w:p w14:paraId="7407807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restart"/>
            <w:tcBorders>
              <w:top w:val="single" w:color="auto" w:sz="4" w:space="0"/>
              <w:left w:val="single" w:color="auto" w:sz="4" w:space="0"/>
              <w:bottom w:val="single" w:color="auto" w:sz="4" w:space="0"/>
              <w:right w:val="single" w:color="auto" w:sz="4" w:space="0"/>
            </w:tcBorders>
            <w:noWrap w:val="0"/>
            <w:vAlign w:val="center"/>
          </w:tcPr>
          <w:p w14:paraId="3354385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color w:val="auto"/>
                <w:sz w:val="28"/>
                <w:szCs w:val="28"/>
              </w:rPr>
            </w:pPr>
            <w:r>
              <w:rPr>
                <w:rFonts w:hint="eastAsia" w:ascii="仿宋_GB2312" w:hAnsi="仿宋_GB2312" w:eastAsia="仿宋_GB2312" w:cs="仿宋_GB2312"/>
                <w:b w:val="0"/>
                <w:i w:val="0"/>
                <w:strike w:val="0"/>
                <w:color w:val="auto"/>
                <w:spacing w:val="0"/>
                <w:sz w:val="28"/>
                <w:szCs w:val="28"/>
                <w:u w:val="none"/>
                <w:lang w:eastAsia="zh-CN"/>
              </w:rPr>
              <w:t>市</w:t>
            </w:r>
            <w:r>
              <w:rPr>
                <w:rFonts w:ascii="仿宋_GB2312" w:hAnsi="仿宋_GB2312" w:eastAsia="仿宋_GB2312" w:cs="仿宋_GB2312"/>
                <w:b w:val="0"/>
                <w:i w:val="0"/>
                <w:strike w:val="0"/>
                <w:color w:val="auto"/>
                <w:spacing w:val="0"/>
                <w:sz w:val="28"/>
                <w:szCs w:val="28"/>
                <w:u w:val="none"/>
              </w:rPr>
              <w:t>招考院</w:t>
            </w:r>
          </w:p>
          <w:p w14:paraId="7FD5187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r>
      <w:tr w14:paraId="78AAF7BB">
        <w:tblPrEx>
          <w:tblCellMar>
            <w:top w:w="115" w:type="dxa"/>
            <w:left w:w="118" w:type="dxa"/>
            <w:bottom w:w="0" w:type="dxa"/>
            <w:right w:w="155" w:type="dxa"/>
          </w:tblCellMar>
        </w:tblPrEx>
        <w:trPr>
          <w:trHeight w:val="760"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F3E058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3</w:t>
            </w:r>
            <w:r>
              <w:rPr>
                <w:rFonts w:hint="eastAsia" w:ascii="仿宋_GB2312" w:hAnsi="仿宋_GB2312" w:eastAsia="仿宋_GB2312" w:cs="仿宋_GB2312"/>
                <w:kern w:val="0"/>
                <w:sz w:val="28"/>
                <w:szCs w:val="28"/>
                <w:lang w:val="en-US" w:eastAsia="zh-CN"/>
              </w:rPr>
              <w:t>7</w:t>
            </w:r>
          </w:p>
        </w:tc>
        <w:tc>
          <w:tcPr>
            <w:tcW w:w="3356" w:type="dxa"/>
            <w:tcBorders>
              <w:top w:val="single" w:color="000000" w:sz="2" w:space="0"/>
              <w:left w:val="single" w:color="auto" w:sz="4" w:space="0"/>
              <w:bottom w:val="single" w:color="000000" w:sz="2" w:space="0"/>
              <w:right w:val="single" w:color="000000" w:sz="2" w:space="0"/>
            </w:tcBorders>
            <w:noWrap w:val="0"/>
            <w:vAlign w:val="center"/>
          </w:tcPr>
          <w:p w14:paraId="61AAEE8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w w:val="92"/>
                <w:kern w:val="0"/>
                <w:sz w:val="28"/>
                <w:szCs w:val="28"/>
                <w:highlight w:val="none"/>
                <w:lang w:val="en-US" w:eastAsia="zh-CN"/>
              </w:rPr>
            </w:pPr>
            <w:r>
              <w:rPr>
                <w:rFonts w:hint="eastAsia" w:ascii="仿宋_GB2312" w:hAnsi="仿宋_GB2312" w:eastAsia="仿宋_GB2312" w:cs="仿宋_GB2312"/>
                <w:color w:val="auto"/>
                <w:w w:val="92"/>
                <w:kern w:val="0"/>
                <w:sz w:val="28"/>
                <w:szCs w:val="28"/>
                <w:highlight w:val="none"/>
                <w:lang w:eastAsia="zh-CN"/>
              </w:rPr>
              <w:t>国家教育考试违规处理办法</w:t>
            </w:r>
          </w:p>
        </w:tc>
        <w:tc>
          <w:tcPr>
            <w:tcW w:w="7014" w:type="dxa"/>
            <w:vMerge w:val="continue"/>
            <w:tcBorders>
              <w:left w:val="single" w:color="000000" w:sz="2" w:space="0"/>
              <w:right w:val="single" w:color="000000" w:sz="2" w:space="0"/>
            </w:tcBorders>
            <w:noWrap w:val="0"/>
            <w:vAlign w:val="center"/>
          </w:tcPr>
          <w:p w14:paraId="51427CCF">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right w:val="single" w:color="auto" w:sz="4" w:space="0"/>
            </w:tcBorders>
            <w:noWrap w:val="0"/>
            <w:vAlign w:val="center"/>
          </w:tcPr>
          <w:p w14:paraId="6188B3E7">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14:paraId="04E30E4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1F6CDD0E">
        <w:tblPrEx>
          <w:tblCellMar>
            <w:top w:w="115" w:type="dxa"/>
            <w:left w:w="118" w:type="dxa"/>
            <w:bottom w:w="0" w:type="dxa"/>
            <w:right w:w="155" w:type="dxa"/>
          </w:tblCellMar>
        </w:tblPrEx>
        <w:trPr>
          <w:trHeight w:val="564"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C14D4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38</w:t>
            </w:r>
          </w:p>
        </w:tc>
        <w:tc>
          <w:tcPr>
            <w:tcW w:w="3356" w:type="dxa"/>
            <w:tcBorders>
              <w:top w:val="single" w:color="000000" w:sz="2" w:space="0"/>
              <w:left w:val="single" w:color="auto" w:sz="4" w:space="0"/>
              <w:bottom w:val="single" w:color="auto" w:sz="4" w:space="0"/>
              <w:right w:val="single" w:color="000000" w:sz="2" w:space="0"/>
            </w:tcBorders>
            <w:noWrap w:val="0"/>
            <w:vAlign w:val="center"/>
          </w:tcPr>
          <w:p w14:paraId="328B5FC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ascii="仿宋_GB2312" w:hAnsi="仿宋_GB2312" w:eastAsia="仿宋_GB2312" w:cs="仿宋_GB2312"/>
                <w:b w:val="0"/>
                <w:i w:val="0"/>
                <w:strike w:val="0"/>
                <w:color w:val="auto"/>
                <w:spacing w:val="0"/>
                <w:sz w:val="28"/>
                <w:szCs w:val="28"/>
                <w:u w:val="none"/>
              </w:rPr>
              <w:t>刑法修正案（九）</w:t>
            </w:r>
          </w:p>
        </w:tc>
        <w:tc>
          <w:tcPr>
            <w:tcW w:w="7014" w:type="dxa"/>
            <w:vMerge w:val="continue"/>
            <w:tcBorders>
              <w:left w:val="single" w:color="000000" w:sz="2" w:space="0"/>
              <w:bottom w:val="single" w:color="auto" w:sz="4" w:space="0"/>
              <w:right w:val="single" w:color="000000" w:sz="2" w:space="0"/>
            </w:tcBorders>
            <w:noWrap w:val="0"/>
            <w:vAlign w:val="center"/>
          </w:tcPr>
          <w:p w14:paraId="45EE36F3">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b w:val="0"/>
                <w:i w:val="0"/>
                <w:strike w:val="0"/>
                <w:color w:val="auto"/>
                <w:spacing w:val="0"/>
                <w:sz w:val="28"/>
                <w:szCs w:val="28"/>
                <w:u w:val="none"/>
                <w:lang w:val="en-US" w:eastAsia="zh-CN"/>
              </w:rPr>
            </w:pPr>
          </w:p>
        </w:tc>
        <w:tc>
          <w:tcPr>
            <w:tcW w:w="1600" w:type="dxa"/>
            <w:vMerge w:val="continue"/>
            <w:tcBorders>
              <w:left w:val="single" w:color="000000" w:sz="2" w:space="0"/>
              <w:bottom w:val="single" w:color="auto" w:sz="4" w:space="0"/>
              <w:right w:val="single" w:color="auto" w:sz="4" w:space="0"/>
            </w:tcBorders>
            <w:noWrap w:val="0"/>
            <w:vAlign w:val="center"/>
          </w:tcPr>
          <w:p w14:paraId="576D88A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top w:val="single" w:color="auto" w:sz="4" w:space="0"/>
              <w:left w:val="single" w:color="auto" w:sz="4" w:space="0"/>
              <w:bottom w:val="single" w:color="auto" w:sz="4" w:space="0"/>
              <w:right w:val="single" w:color="auto" w:sz="4" w:space="0"/>
            </w:tcBorders>
            <w:noWrap w:val="0"/>
            <w:vAlign w:val="center"/>
          </w:tcPr>
          <w:p w14:paraId="1409ECE2">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r>
      <w:tr w14:paraId="357FD580">
        <w:tblPrEx>
          <w:tblCellMar>
            <w:top w:w="115" w:type="dxa"/>
            <w:left w:w="118" w:type="dxa"/>
            <w:bottom w:w="0" w:type="dxa"/>
            <w:right w:w="155" w:type="dxa"/>
          </w:tblCellMar>
        </w:tblPrEx>
        <w:trPr>
          <w:trHeight w:val="665"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FDE9D2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39</w:t>
            </w:r>
          </w:p>
        </w:tc>
        <w:tc>
          <w:tcPr>
            <w:tcW w:w="3356" w:type="dxa"/>
            <w:tcBorders>
              <w:top w:val="single" w:color="auto" w:sz="4" w:space="0"/>
              <w:left w:val="single" w:color="auto" w:sz="4" w:space="0"/>
              <w:bottom w:val="single" w:color="auto" w:sz="4" w:space="0"/>
              <w:right w:val="single" w:color="auto" w:sz="4" w:space="0"/>
            </w:tcBorders>
            <w:noWrap w:val="0"/>
            <w:vAlign w:val="center"/>
          </w:tcPr>
          <w:p w14:paraId="2235EF8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政府采购法</w:t>
            </w:r>
          </w:p>
        </w:tc>
        <w:tc>
          <w:tcPr>
            <w:tcW w:w="7014" w:type="dxa"/>
            <w:vMerge w:val="restart"/>
            <w:tcBorders>
              <w:top w:val="single" w:color="auto" w:sz="4" w:space="0"/>
              <w:left w:val="single" w:color="auto" w:sz="4" w:space="0"/>
              <w:bottom w:val="single" w:color="auto" w:sz="4" w:space="0"/>
              <w:right w:val="single" w:color="auto" w:sz="4" w:space="0"/>
            </w:tcBorders>
            <w:noWrap w:val="0"/>
            <w:vAlign w:val="center"/>
          </w:tcPr>
          <w:p w14:paraId="2D21EFF8">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开展面向局机关采购专员，局属学校分管校长、总务主任、采购专员的政府采购业务专题分层培训，以剖析案例、政策分析的方式进行政府采购有关法律普及和警示教育。</w:t>
            </w:r>
          </w:p>
        </w:tc>
        <w:tc>
          <w:tcPr>
            <w:tcW w:w="1600" w:type="dxa"/>
            <w:vMerge w:val="restart"/>
            <w:tcBorders>
              <w:top w:val="single" w:color="auto" w:sz="4" w:space="0"/>
              <w:left w:val="single" w:color="auto" w:sz="4" w:space="0"/>
              <w:bottom w:val="single" w:color="auto" w:sz="4" w:space="0"/>
              <w:right w:val="single" w:color="auto" w:sz="4" w:space="0"/>
            </w:tcBorders>
            <w:noWrap w:val="0"/>
            <w:vAlign w:val="center"/>
          </w:tcPr>
          <w:p w14:paraId="5DBD4308">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default" w:ascii="仿宋_GB2312" w:hAnsi="仿宋_GB2312" w:eastAsia="仿宋_GB2312" w:cs="仿宋_GB2312"/>
                <w:color w:val="auto"/>
                <w:kern w:val="0"/>
                <w:sz w:val="28"/>
                <w:szCs w:val="28"/>
                <w:highlight w:val="none"/>
                <w:lang w:val="en-US" w:eastAsia="zh-CN"/>
              </w:rPr>
              <w:t>12</w:t>
            </w:r>
            <w:r>
              <w:rPr>
                <w:rFonts w:hint="eastAsia" w:ascii="仿宋_GB2312" w:hAnsi="仿宋_GB2312" w:eastAsia="仿宋_GB2312" w:cs="仿宋_GB2312"/>
                <w:color w:val="auto"/>
                <w:kern w:val="0"/>
                <w:sz w:val="28"/>
                <w:szCs w:val="28"/>
                <w:highlight w:val="none"/>
                <w:lang w:val="en-US" w:eastAsia="zh-CN"/>
              </w:rPr>
              <w:t>月</w:t>
            </w:r>
          </w:p>
        </w:tc>
        <w:tc>
          <w:tcPr>
            <w:tcW w:w="1810" w:type="dxa"/>
            <w:vMerge w:val="restart"/>
            <w:tcBorders>
              <w:top w:val="single" w:color="auto" w:sz="4" w:space="0"/>
              <w:left w:val="single" w:color="auto" w:sz="4" w:space="0"/>
              <w:right w:val="single" w:color="auto" w:sz="4" w:space="0"/>
            </w:tcBorders>
            <w:noWrap w:val="0"/>
            <w:vAlign w:val="center"/>
          </w:tcPr>
          <w:p w14:paraId="3FF263C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eastAsia="zh-CN"/>
              </w:rPr>
              <w:t>市</w:t>
            </w:r>
            <w:r>
              <w:rPr>
                <w:rFonts w:hint="eastAsia" w:ascii="仿宋_GB2312" w:hAnsi="仿宋_GB2312" w:eastAsia="仿宋_GB2312" w:cs="仿宋_GB2312"/>
                <w:kern w:val="0"/>
                <w:sz w:val="28"/>
                <w:szCs w:val="28"/>
              </w:rPr>
              <w:t>装备</w:t>
            </w:r>
            <w:r>
              <w:rPr>
                <w:rFonts w:hint="eastAsia" w:ascii="仿宋_GB2312" w:hAnsi="仿宋_GB2312" w:eastAsia="仿宋_GB2312" w:cs="仿宋_GB2312"/>
                <w:kern w:val="0"/>
                <w:sz w:val="28"/>
                <w:szCs w:val="28"/>
                <w:lang w:eastAsia="zh-CN"/>
              </w:rPr>
              <w:t>与</w:t>
            </w:r>
            <w:r>
              <w:rPr>
                <w:rFonts w:hint="eastAsia" w:ascii="仿宋_GB2312" w:hAnsi="仿宋_GB2312" w:eastAsia="仿宋_GB2312" w:cs="仿宋_GB2312"/>
                <w:kern w:val="0"/>
                <w:sz w:val="28"/>
                <w:szCs w:val="28"/>
              </w:rPr>
              <w:t>信息</w:t>
            </w:r>
            <w:r>
              <w:rPr>
                <w:rFonts w:hint="eastAsia" w:ascii="仿宋_GB2312" w:hAnsi="仿宋_GB2312" w:eastAsia="仿宋_GB2312" w:cs="仿宋_GB2312"/>
                <w:kern w:val="0"/>
                <w:sz w:val="28"/>
                <w:szCs w:val="28"/>
                <w:lang w:eastAsia="zh-CN"/>
              </w:rPr>
              <w:t>技术</w:t>
            </w:r>
            <w:r>
              <w:rPr>
                <w:rFonts w:hint="eastAsia" w:ascii="仿宋_GB2312" w:hAnsi="仿宋_GB2312" w:eastAsia="仿宋_GB2312" w:cs="仿宋_GB2312"/>
                <w:kern w:val="0"/>
                <w:sz w:val="28"/>
                <w:szCs w:val="28"/>
              </w:rPr>
              <w:t>中心</w:t>
            </w:r>
          </w:p>
        </w:tc>
      </w:tr>
      <w:tr w14:paraId="52F4A9E5">
        <w:tblPrEx>
          <w:tblCellMar>
            <w:top w:w="115" w:type="dxa"/>
            <w:left w:w="118" w:type="dxa"/>
            <w:bottom w:w="0" w:type="dxa"/>
            <w:right w:w="155" w:type="dxa"/>
          </w:tblCellMar>
        </w:tblPrEx>
        <w:trPr>
          <w:trHeight w:val="482" w:hRule="atLeast"/>
          <w:tblHeader/>
          <w:jc w:val="center"/>
        </w:trPr>
        <w:tc>
          <w:tcPr>
            <w:tcW w:w="989"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7D18F06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40</w:t>
            </w:r>
          </w:p>
        </w:tc>
        <w:tc>
          <w:tcPr>
            <w:tcW w:w="3356" w:type="dxa"/>
            <w:tcBorders>
              <w:top w:val="single" w:color="auto" w:sz="4" w:space="0"/>
              <w:left w:val="single" w:color="000000" w:sz="2" w:space="0"/>
              <w:bottom w:val="single" w:color="000000" w:sz="2" w:space="0"/>
              <w:right w:val="single" w:color="auto" w:sz="4" w:space="0"/>
            </w:tcBorders>
            <w:noWrap w:val="0"/>
            <w:vAlign w:val="center"/>
          </w:tcPr>
          <w:p w14:paraId="37E8684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政府采购法实施条例</w:t>
            </w:r>
          </w:p>
        </w:tc>
        <w:tc>
          <w:tcPr>
            <w:tcW w:w="7014" w:type="dxa"/>
            <w:vMerge w:val="continue"/>
            <w:tcBorders>
              <w:top w:val="single" w:color="auto" w:sz="4" w:space="0"/>
              <w:left w:val="single" w:color="auto" w:sz="4" w:space="0"/>
              <w:bottom w:val="single" w:color="auto" w:sz="4" w:space="0"/>
              <w:right w:val="single" w:color="auto" w:sz="4" w:space="0"/>
            </w:tcBorders>
            <w:noWrap w:val="0"/>
            <w:vAlign w:val="center"/>
          </w:tcPr>
          <w:p w14:paraId="03F90D72">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rPr>
            </w:pPr>
          </w:p>
        </w:tc>
        <w:tc>
          <w:tcPr>
            <w:tcW w:w="1600" w:type="dxa"/>
            <w:vMerge w:val="continue"/>
            <w:tcBorders>
              <w:top w:val="single" w:color="auto" w:sz="4" w:space="0"/>
              <w:left w:val="single" w:color="auto" w:sz="4" w:space="0"/>
              <w:bottom w:val="single" w:color="auto" w:sz="4" w:space="0"/>
              <w:right w:val="single" w:color="auto" w:sz="4" w:space="0"/>
            </w:tcBorders>
            <w:noWrap w:val="0"/>
            <w:vAlign w:val="center"/>
          </w:tcPr>
          <w:p w14:paraId="33A7736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right w:val="single" w:color="auto" w:sz="4" w:space="0"/>
            </w:tcBorders>
            <w:noWrap w:val="0"/>
            <w:vAlign w:val="center"/>
          </w:tcPr>
          <w:p w14:paraId="2C8B4C9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p>
        </w:tc>
      </w:tr>
      <w:tr w14:paraId="42287D77">
        <w:tblPrEx>
          <w:tblCellMar>
            <w:top w:w="115" w:type="dxa"/>
            <w:left w:w="118" w:type="dxa"/>
            <w:bottom w:w="0" w:type="dxa"/>
            <w:right w:w="155" w:type="dxa"/>
          </w:tblCellMar>
        </w:tblPrEx>
        <w:trPr>
          <w:trHeight w:val="839" w:hRule="atLeast"/>
          <w:tblHeader/>
          <w:jc w:val="center"/>
        </w:trPr>
        <w:tc>
          <w:tcPr>
            <w:tcW w:w="989" w:type="dxa"/>
            <w:tcBorders>
              <w:top w:val="single" w:color="000000" w:sz="2" w:space="0"/>
              <w:left w:val="single" w:color="000000" w:sz="2" w:space="0"/>
              <w:bottom w:val="single" w:color="auto" w:sz="4" w:space="0"/>
              <w:right w:val="single" w:color="000000" w:sz="2" w:space="0"/>
            </w:tcBorders>
            <w:shd w:val="clear" w:color="auto" w:fill="auto"/>
            <w:noWrap w:val="0"/>
            <w:vAlign w:val="center"/>
          </w:tcPr>
          <w:p w14:paraId="6BCF431B">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rPr>
              <w:t>41</w:t>
            </w:r>
          </w:p>
        </w:tc>
        <w:tc>
          <w:tcPr>
            <w:tcW w:w="3356" w:type="dxa"/>
            <w:tcBorders>
              <w:top w:val="single" w:color="000000" w:sz="2" w:space="0"/>
              <w:left w:val="single" w:color="000000" w:sz="2" w:space="0"/>
              <w:bottom w:val="single" w:color="000000" w:sz="2" w:space="0"/>
              <w:right w:val="single" w:color="000000" w:sz="2" w:space="0"/>
            </w:tcBorders>
            <w:shd w:val="clear" w:color="auto" w:fill="auto"/>
            <w:noWrap w:val="0"/>
            <w:vAlign w:val="center"/>
          </w:tcPr>
          <w:p w14:paraId="37DDD3E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未成年人网络保护条例</w:t>
            </w:r>
          </w:p>
        </w:tc>
        <w:tc>
          <w:tcPr>
            <w:tcW w:w="7014" w:type="dxa"/>
            <w:tcBorders>
              <w:top w:val="single" w:color="auto" w:sz="4" w:space="0"/>
              <w:left w:val="single" w:color="000000" w:sz="2" w:space="0"/>
              <w:bottom w:val="single" w:color="000000" w:sz="2" w:space="0"/>
              <w:right w:val="single" w:color="000000" w:sz="2" w:space="0"/>
            </w:tcBorders>
            <w:shd w:val="clear" w:color="auto" w:fill="auto"/>
            <w:noWrap w:val="0"/>
            <w:vAlign w:val="center"/>
          </w:tcPr>
          <w:p w14:paraId="684CDD86">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面向中小学师生开展网络安全宣传周活动，</w:t>
            </w:r>
            <w:r>
              <w:rPr>
                <w:rFonts w:hint="eastAsia" w:ascii="仿宋_GB2312" w:hAnsi="仿宋_GB2312" w:eastAsia="仿宋_GB2312" w:cs="仿宋_GB2312"/>
                <w:kern w:val="0"/>
                <w:sz w:val="28"/>
                <w:szCs w:val="28"/>
                <w:lang w:val="en-US" w:eastAsia="zh-CN"/>
              </w:rPr>
              <w:t>引导各区市、各学校</w:t>
            </w:r>
            <w:r>
              <w:rPr>
                <w:rFonts w:hint="eastAsia" w:ascii="仿宋_GB2312" w:hAnsi="仿宋_GB2312" w:eastAsia="仿宋_GB2312" w:cs="仿宋_GB2312"/>
                <w:kern w:val="0"/>
                <w:sz w:val="28"/>
                <w:szCs w:val="28"/>
              </w:rPr>
              <w:t>通过主题活动、</w:t>
            </w:r>
            <w:r>
              <w:rPr>
                <w:rFonts w:ascii="仿宋_GB2312" w:hAnsi="仿宋_GB2312" w:eastAsia="仿宋_GB2312" w:cs="仿宋_GB2312"/>
                <w:kern w:val="0"/>
                <w:sz w:val="28"/>
                <w:szCs w:val="28"/>
              </w:rPr>
              <w:t>国旗下讲话、主题班会、网络安全大讲堂、知识竞赛等</w:t>
            </w:r>
            <w:r>
              <w:rPr>
                <w:rFonts w:hint="eastAsia" w:ascii="仿宋_GB2312" w:hAnsi="仿宋_GB2312" w:eastAsia="仿宋_GB2312" w:cs="仿宋_GB2312"/>
                <w:kern w:val="0"/>
                <w:sz w:val="28"/>
                <w:szCs w:val="28"/>
                <w:lang w:val="en-US" w:eastAsia="zh-CN"/>
              </w:rPr>
              <w:t>灵活</w:t>
            </w:r>
            <w:r>
              <w:rPr>
                <w:rFonts w:ascii="仿宋_GB2312" w:hAnsi="仿宋_GB2312" w:eastAsia="仿宋_GB2312" w:cs="仿宋_GB2312"/>
                <w:kern w:val="0"/>
                <w:sz w:val="28"/>
                <w:szCs w:val="28"/>
              </w:rPr>
              <w:t>形式，广泛宣讲网络安全知识，传播网络文明风尚。</w:t>
            </w:r>
          </w:p>
        </w:tc>
        <w:tc>
          <w:tcPr>
            <w:tcW w:w="1600" w:type="dxa"/>
            <w:tcBorders>
              <w:top w:val="single" w:color="auto" w:sz="4" w:space="0"/>
              <w:left w:val="single" w:color="000000" w:sz="2" w:space="0"/>
              <w:bottom w:val="single" w:color="000000" w:sz="2" w:space="0"/>
              <w:right w:val="single" w:color="auto" w:sz="4" w:space="0"/>
            </w:tcBorders>
            <w:shd w:val="clear" w:color="auto" w:fill="auto"/>
            <w:noWrap w:val="0"/>
            <w:vAlign w:val="center"/>
          </w:tcPr>
          <w:p w14:paraId="497730D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9月</w:t>
            </w:r>
          </w:p>
        </w:tc>
        <w:tc>
          <w:tcPr>
            <w:tcW w:w="1810" w:type="dxa"/>
            <w:vMerge w:val="continue"/>
            <w:tcBorders>
              <w:left w:val="single" w:color="auto" w:sz="4" w:space="0"/>
              <w:bottom w:val="single" w:color="auto" w:sz="4" w:space="0"/>
              <w:right w:val="single" w:color="auto" w:sz="4" w:space="0"/>
            </w:tcBorders>
            <w:noWrap w:val="0"/>
            <w:vAlign w:val="center"/>
          </w:tcPr>
          <w:p w14:paraId="4EE9CE7D">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kern w:val="0"/>
                <w:sz w:val="28"/>
                <w:szCs w:val="28"/>
                <w:lang w:val="en-US" w:eastAsia="zh-CN" w:bidi="ar-SA"/>
              </w:rPr>
            </w:pPr>
          </w:p>
        </w:tc>
      </w:tr>
      <w:tr w14:paraId="1C892C5D">
        <w:tblPrEx>
          <w:tblCellMar>
            <w:top w:w="115" w:type="dxa"/>
            <w:left w:w="118" w:type="dxa"/>
            <w:bottom w:w="0" w:type="dxa"/>
            <w:right w:w="155" w:type="dxa"/>
          </w:tblCellMar>
        </w:tblPrEx>
        <w:trPr>
          <w:trHeight w:val="682" w:hRule="atLeast"/>
          <w:tblHeader/>
          <w:jc w:val="center"/>
        </w:trPr>
        <w:tc>
          <w:tcPr>
            <w:tcW w:w="98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1C29E59">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bidi="ar-SA"/>
              </w:rPr>
            </w:pPr>
            <w:r>
              <w:rPr>
                <w:rFonts w:hint="eastAsia" w:ascii="仿宋_GB2312" w:hAnsi="Times New Roman" w:eastAsia="仿宋_GB2312" w:cs="宋体"/>
                <w:bCs/>
                <w:color w:val="000000"/>
                <w:kern w:val="0"/>
                <w:sz w:val="28"/>
                <w:szCs w:val="28"/>
                <w:highlight w:val="none"/>
                <w:lang w:val="en-US" w:eastAsia="zh-CN"/>
              </w:rPr>
              <w:t>42</w:t>
            </w:r>
          </w:p>
        </w:tc>
        <w:tc>
          <w:tcPr>
            <w:tcW w:w="3356" w:type="dxa"/>
            <w:tcBorders>
              <w:top w:val="single" w:color="000000" w:sz="2" w:space="0"/>
              <w:left w:val="single" w:color="auto" w:sz="4" w:space="0"/>
              <w:bottom w:val="single" w:color="000000" w:sz="2" w:space="0"/>
              <w:right w:val="single" w:color="000000" w:sz="2" w:space="0"/>
            </w:tcBorders>
            <w:shd w:val="clear" w:color="auto" w:fill="auto"/>
            <w:noWrap w:val="0"/>
            <w:vAlign w:val="center"/>
          </w:tcPr>
          <w:p w14:paraId="5F11CEB4">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统计法</w:t>
            </w:r>
          </w:p>
        </w:tc>
        <w:tc>
          <w:tcPr>
            <w:tcW w:w="7014" w:type="dxa"/>
            <w:vMerge w:val="restart"/>
            <w:tcBorders>
              <w:top w:val="single" w:color="auto" w:sz="4" w:space="0"/>
              <w:left w:val="single" w:color="000000" w:sz="2" w:space="0"/>
              <w:right w:val="single" w:color="000000" w:sz="2" w:space="0"/>
            </w:tcBorders>
            <w:shd w:val="clear" w:color="auto" w:fill="auto"/>
            <w:noWrap w:val="0"/>
            <w:vAlign w:val="center"/>
          </w:tcPr>
          <w:p w14:paraId="3057E43D">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开展教育事业统计工作业务培训，组织全市教育事业统计人员深入学习统计法、教育统计管理规定等统计法规，提升统计法律意识、法治观念和实践能力，提高统计工作的法治化、规范化水平。</w:t>
            </w:r>
          </w:p>
        </w:tc>
        <w:tc>
          <w:tcPr>
            <w:tcW w:w="1600" w:type="dxa"/>
            <w:vMerge w:val="restart"/>
            <w:tcBorders>
              <w:top w:val="single" w:color="000000" w:sz="2" w:space="0"/>
              <w:left w:val="single" w:color="000000" w:sz="2" w:space="0"/>
              <w:right w:val="single" w:color="auto" w:sz="4" w:space="0"/>
            </w:tcBorders>
            <w:shd w:val="clear" w:color="auto" w:fill="auto"/>
            <w:noWrap w:val="0"/>
            <w:vAlign w:val="center"/>
          </w:tcPr>
          <w:p w14:paraId="46DC3ACF">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color w:val="auto"/>
                <w:kern w:val="0"/>
                <w:sz w:val="28"/>
                <w:szCs w:val="28"/>
                <w:highlight w:val="none"/>
                <w:lang w:val="en-US" w:eastAsia="zh-CN"/>
              </w:rPr>
            </w:pPr>
            <w:r>
              <w:rPr>
                <w:rFonts w:hint="default" w:ascii="仿宋_GB2312" w:hAnsi="仿宋_GB2312" w:eastAsia="仿宋_GB2312" w:cs="仿宋_GB2312"/>
                <w:color w:val="auto"/>
                <w:kern w:val="0"/>
                <w:sz w:val="28"/>
                <w:szCs w:val="28"/>
                <w:highlight w:val="none"/>
                <w:lang w:val="en-US" w:eastAsia="zh-CN"/>
              </w:rPr>
              <w:t>11</w:t>
            </w:r>
            <w:r>
              <w:rPr>
                <w:rFonts w:hint="eastAsia" w:ascii="仿宋_GB2312" w:hAnsi="仿宋_GB2312" w:eastAsia="仿宋_GB2312" w:cs="仿宋_GB2312"/>
                <w:color w:val="auto"/>
                <w:kern w:val="0"/>
                <w:sz w:val="28"/>
                <w:szCs w:val="28"/>
                <w:highlight w:val="none"/>
                <w:lang w:val="en-US" w:eastAsia="zh-CN"/>
              </w:rPr>
              <w:t>月</w:t>
            </w:r>
          </w:p>
        </w:tc>
        <w:tc>
          <w:tcPr>
            <w:tcW w:w="1810" w:type="dxa"/>
            <w:vMerge w:val="restart"/>
            <w:tcBorders>
              <w:top w:val="single" w:color="auto" w:sz="4" w:space="0"/>
              <w:left w:val="single" w:color="auto" w:sz="4" w:space="0"/>
              <w:right w:val="single" w:color="auto" w:sz="4" w:space="0"/>
            </w:tcBorders>
            <w:noWrap w:val="0"/>
            <w:vAlign w:val="center"/>
          </w:tcPr>
          <w:p w14:paraId="2534FE6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eastAsia="zh-CN"/>
              </w:rPr>
            </w:pPr>
            <w:r>
              <w:rPr>
                <w:rFonts w:hint="eastAsia" w:ascii="仿宋_GB2312" w:hAnsi="仿宋_GB2312" w:eastAsia="仿宋_GB2312" w:cs="仿宋_GB2312"/>
                <w:color w:val="auto"/>
                <w:kern w:val="0"/>
                <w:sz w:val="28"/>
                <w:szCs w:val="28"/>
                <w:highlight w:val="none"/>
                <w:lang w:val="en-US" w:eastAsia="zh-CN"/>
              </w:rPr>
              <w:t>市人才服务与学生资助中心</w:t>
            </w:r>
          </w:p>
        </w:tc>
      </w:tr>
      <w:tr w14:paraId="7D85416F">
        <w:tblPrEx>
          <w:tblCellMar>
            <w:top w:w="115" w:type="dxa"/>
            <w:left w:w="118" w:type="dxa"/>
            <w:bottom w:w="0" w:type="dxa"/>
            <w:right w:w="155" w:type="dxa"/>
          </w:tblCellMar>
        </w:tblPrEx>
        <w:trPr>
          <w:trHeight w:val="503" w:hRule="atLeast"/>
          <w:tblHeader/>
          <w:jc w:val="center"/>
        </w:trPr>
        <w:tc>
          <w:tcPr>
            <w:tcW w:w="989" w:type="dxa"/>
            <w:tcBorders>
              <w:top w:val="single" w:color="auto" w:sz="4" w:space="0"/>
              <w:left w:val="single" w:color="auto" w:sz="4" w:space="0"/>
              <w:bottom w:val="single" w:color="auto" w:sz="4" w:space="0"/>
              <w:right w:val="single" w:color="auto" w:sz="4" w:space="0"/>
            </w:tcBorders>
            <w:noWrap w:val="0"/>
            <w:vAlign w:val="center"/>
          </w:tcPr>
          <w:p w14:paraId="3E42DE83">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43</w:t>
            </w:r>
          </w:p>
        </w:tc>
        <w:tc>
          <w:tcPr>
            <w:tcW w:w="3356" w:type="dxa"/>
            <w:tcBorders>
              <w:top w:val="single" w:color="000000" w:sz="2" w:space="0"/>
              <w:left w:val="single" w:color="auto" w:sz="4" w:space="0"/>
              <w:bottom w:val="single" w:color="000000" w:sz="2" w:space="0"/>
              <w:right w:val="single" w:color="000000" w:sz="2" w:space="0"/>
            </w:tcBorders>
            <w:shd w:val="clear" w:color="auto" w:fill="auto"/>
            <w:noWrap w:val="0"/>
            <w:vAlign w:val="center"/>
          </w:tcPr>
          <w:p w14:paraId="77099FAA">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教育统计管理规定</w:t>
            </w:r>
          </w:p>
        </w:tc>
        <w:tc>
          <w:tcPr>
            <w:tcW w:w="7014" w:type="dxa"/>
            <w:vMerge w:val="continue"/>
            <w:tcBorders>
              <w:left w:val="single" w:color="000000" w:sz="2" w:space="0"/>
              <w:bottom w:val="single" w:color="000000" w:sz="2" w:space="0"/>
              <w:right w:val="single" w:color="000000" w:sz="2" w:space="0"/>
            </w:tcBorders>
            <w:shd w:val="clear" w:color="auto" w:fill="auto"/>
            <w:noWrap w:val="0"/>
            <w:vAlign w:val="center"/>
          </w:tcPr>
          <w:p w14:paraId="1A72A41C">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600" w:type="dxa"/>
            <w:vMerge w:val="continue"/>
            <w:tcBorders>
              <w:left w:val="single" w:color="000000" w:sz="2" w:space="0"/>
              <w:bottom w:val="single" w:color="000000" w:sz="2" w:space="0"/>
              <w:right w:val="single" w:color="auto" w:sz="4" w:space="0"/>
            </w:tcBorders>
            <w:shd w:val="clear" w:color="auto" w:fill="auto"/>
            <w:noWrap w:val="0"/>
            <w:vAlign w:val="center"/>
          </w:tcPr>
          <w:p w14:paraId="1F311035">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c>
          <w:tcPr>
            <w:tcW w:w="1810" w:type="dxa"/>
            <w:vMerge w:val="continue"/>
            <w:tcBorders>
              <w:left w:val="single" w:color="auto" w:sz="4" w:space="0"/>
              <w:right w:val="single" w:color="auto" w:sz="4" w:space="0"/>
            </w:tcBorders>
            <w:noWrap w:val="0"/>
            <w:vAlign w:val="center"/>
          </w:tcPr>
          <w:p w14:paraId="4524FAC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highlight w:val="none"/>
                <w:lang w:val="en-US" w:eastAsia="zh-CN"/>
              </w:rPr>
            </w:pPr>
          </w:p>
        </w:tc>
      </w:tr>
      <w:tr w14:paraId="0821E56B">
        <w:tblPrEx>
          <w:tblCellMar>
            <w:top w:w="115" w:type="dxa"/>
            <w:left w:w="118" w:type="dxa"/>
            <w:bottom w:w="0" w:type="dxa"/>
            <w:right w:w="155" w:type="dxa"/>
          </w:tblCellMar>
        </w:tblPrEx>
        <w:trPr>
          <w:trHeight w:val="797" w:hRule="atLeast"/>
          <w:tblHeader/>
          <w:jc w:val="center"/>
        </w:trPr>
        <w:tc>
          <w:tcPr>
            <w:tcW w:w="989" w:type="dxa"/>
            <w:tcBorders>
              <w:top w:val="single" w:color="auto" w:sz="4" w:space="0"/>
              <w:left w:val="single" w:color="000000" w:sz="2" w:space="0"/>
              <w:bottom w:val="single" w:color="000000" w:sz="2" w:space="0"/>
              <w:right w:val="single" w:color="000000" w:sz="2" w:space="0"/>
            </w:tcBorders>
            <w:noWrap w:val="0"/>
            <w:vAlign w:val="center"/>
          </w:tcPr>
          <w:p w14:paraId="65157661">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仿宋_GB2312" w:hAnsi="Times New Roman" w:eastAsia="仿宋_GB2312" w:cs="宋体"/>
                <w:bCs/>
                <w:color w:val="000000"/>
                <w:kern w:val="0"/>
                <w:sz w:val="28"/>
                <w:szCs w:val="28"/>
                <w:highlight w:val="none"/>
                <w:lang w:val="en-US" w:eastAsia="zh-CN"/>
              </w:rPr>
            </w:pPr>
            <w:r>
              <w:rPr>
                <w:rFonts w:hint="eastAsia" w:ascii="仿宋_GB2312" w:hAnsi="Times New Roman" w:eastAsia="仿宋_GB2312" w:cs="宋体"/>
                <w:bCs/>
                <w:color w:val="000000"/>
                <w:kern w:val="0"/>
                <w:sz w:val="28"/>
                <w:szCs w:val="28"/>
                <w:highlight w:val="none"/>
                <w:lang w:val="en-US" w:eastAsia="zh-CN"/>
              </w:rPr>
              <w:t>44</w:t>
            </w:r>
          </w:p>
        </w:tc>
        <w:tc>
          <w:tcPr>
            <w:tcW w:w="3356" w:type="dxa"/>
            <w:tcBorders>
              <w:top w:val="single" w:color="000000" w:sz="2" w:space="0"/>
              <w:left w:val="single" w:color="000000" w:sz="2" w:space="0"/>
              <w:bottom w:val="single" w:color="000000" w:sz="2" w:space="0"/>
              <w:right w:val="single" w:color="000000" w:sz="2" w:space="0"/>
            </w:tcBorders>
            <w:noWrap w:val="0"/>
            <w:vAlign w:val="center"/>
          </w:tcPr>
          <w:p w14:paraId="4EFD8A2E">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学生资助资金管理办法</w:t>
            </w:r>
          </w:p>
        </w:tc>
        <w:tc>
          <w:tcPr>
            <w:tcW w:w="7014" w:type="dxa"/>
            <w:tcBorders>
              <w:top w:val="single" w:color="000000" w:sz="2" w:space="0"/>
              <w:left w:val="single" w:color="000000" w:sz="2" w:space="0"/>
              <w:bottom w:val="single" w:color="000000" w:sz="2" w:space="0"/>
              <w:right w:val="single" w:color="000000" w:sz="2" w:space="0"/>
            </w:tcBorders>
            <w:noWrap w:val="0"/>
            <w:vAlign w:val="center"/>
          </w:tcPr>
          <w:p w14:paraId="2D739045">
            <w:pPr>
              <w:keepNext w:val="0"/>
              <w:keepLines w:val="0"/>
              <w:pageBreakBefore w:val="0"/>
              <w:widowControl w:val="0"/>
              <w:kinsoku/>
              <w:wordWrap/>
              <w:overflowPunct/>
              <w:topLinePunct w:val="0"/>
              <w:autoSpaceDE/>
              <w:autoSpaceDN/>
              <w:bidi w:val="0"/>
              <w:adjustRightInd w:val="0"/>
              <w:snapToGrid w:val="0"/>
              <w:spacing w:line="240" w:lineRule="atLeast"/>
              <w:jc w:val="both"/>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开展学生资助工作业务培训，宣传解读有关规定</w:t>
            </w:r>
            <w:r>
              <w:rPr>
                <w:rFonts w:hint="eastAsia" w:ascii="仿宋_GB2312" w:hAnsi="仿宋_GB2312" w:eastAsia="仿宋_GB2312" w:cs="仿宋_GB2312"/>
                <w:color w:val="auto"/>
                <w:kern w:val="0"/>
                <w:sz w:val="28"/>
                <w:szCs w:val="28"/>
                <w:lang w:eastAsia="zh-CN"/>
              </w:rPr>
              <w:t>，依法做好学生资助工作</w:t>
            </w:r>
            <w:r>
              <w:rPr>
                <w:rFonts w:hint="eastAsia" w:ascii="仿宋_GB2312" w:hAnsi="仿宋_GB2312" w:eastAsia="仿宋_GB2312" w:cs="仿宋_GB2312"/>
                <w:color w:val="auto"/>
                <w:kern w:val="0"/>
                <w:sz w:val="28"/>
                <w:szCs w:val="28"/>
              </w:rPr>
              <w:t>。</w:t>
            </w:r>
          </w:p>
        </w:tc>
        <w:tc>
          <w:tcPr>
            <w:tcW w:w="1600" w:type="dxa"/>
            <w:tcBorders>
              <w:top w:val="single" w:color="000000" w:sz="2" w:space="0"/>
              <w:left w:val="single" w:color="000000" w:sz="2" w:space="0"/>
              <w:bottom w:val="single" w:color="000000" w:sz="2" w:space="0"/>
              <w:right w:val="single" w:color="000000" w:sz="2" w:space="0"/>
            </w:tcBorders>
            <w:noWrap w:val="0"/>
            <w:vAlign w:val="center"/>
          </w:tcPr>
          <w:p w14:paraId="4035CD66">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lang w:val="en-US" w:eastAsia="zh-CN" w:bidi="ar-SA"/>
              </w:rPr>
            </w:pPr>
            <w:r>
              <w:rPr>
                <w:rFonts w:hint="eastAsia" w:ascii="仿宋_GB2312" w:hAnsi="仿宋_GB2312" w:eastAsia="仿宋_GB2312" w:cs="仿宋_GB2312"/>
                <w:color w:val="auto"/>
                <w:kern w:val="0"/>
                <w:sz w:val="28"/>
                <w:szCs w:val="28"/>
              </w:rPr>
              <w:t>1</w:t>
            </w:r>
            <w:r>
              <w:rPr>
                <w:rFonts w:ascii="仿宋_GB2312" w:hAnsi="仿宋_GB2312" w:eastAsia="仿宋_GB2312" w:cs="仿宋_GB2312"/>
                <w:color w:val="auto"/>
                <w:kern w:val="0"/>
                <w:sz w:val="28"/>
                <w:szCs w:val="28"/>
              </w:rPr>
              <w:t>1</w:t>
            </w:r>
            <w:r>
              <w:rPr>
                <w:rFonts w:hint="eastAsia" w:ascii="仿宋_GB2312" w:hAnsi="仿宋_GB2312" w:eastAsia="仿宋_GB2312" w:cs="仿宋_GB2312"/>
                <w:color w:val="auto"/>
                <w:kern w:val="0"/>
                <w:sz w:val="28"/>
                <w:szCs w:val="28"/>
              </w:rPr>
              <w:t>月</w:t>
            </w:r>
          </w:p>
        </w:tc>
        <w:tc>
          <w:tcPr>
            <w:tcW w:w="1810" w:type="dxa"/>
            <w:vMerge w:val="continue"/>
            <w:tcBorders>
              <w:left w:val="single" w:color="auto" w:sz="4" w:space="0"/>
              <w:bottom w:val="single" w:color="000000" w:sz="2" w:space="0"/>
              <w:right w:val="single" w:color="auto" w:sz="4" w:space="0"/>
            </w:tcBorders>
            <w:noWrap w:val="0"/>
            <w:vAlign w:val="center"/>
          </w:tcPr>
          <w:p w14:paraId="25D86A90">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eastAsia" w:ascii="仿宋_GB2312" w:hAnsi="仿宋_GB2312" w:eastAsia="仿宋_GB2312" w:cs="仿宋_GB2312"/>
                <w:color w:val="auto"/>
                <w:kern w:val="0"/>
                <w:sz w:val="28"/>
                <w:szCs w:val="28"/>
                <w:lang w:val="en-US" w:eastAsia="zh-CN" w:bidi="ar-SA"/>
              </w:rPr>
            </w:pPr>
          </w:p>
        </w:tc>
      </w:tr>
    </w:tbl>
    <w:p w14:paraId="178BF96C">
      <w:pPr>
        <w:keepNext w:val="0"/>
        <w:keepLines w:val="0"/>
        <w:pageBreakBefore w:val="0"/>
        <w:widowControl/>
        <w:kinsoku/>
        <w:wordWrap/>
        <w:overflowPunct/>
        <w:topLinePunct w:val="0"/>
        <w:autoSpaceDE/>
        <w:autoSpaceDN/>
        <w:bidi w:val="0"/>
        <w:adjustRightInd w:val="0"/>
        <w:snapToGrid w:val="0"/>
        <w:spacing w:before="157" w:beforeLines="50" w:line="300" w:lineRule="exact"/>
        <w:jc w:val="left"/>
        <w:textAlignment w:val="auto"/>
        <w:rPr>
          <w:rFonts w:hint="default" w:ascii="仿宋_GB2312" w:hAnsi="Times New Roman" w:eastAsia="仿宋_GB2312" w:cs="宋体"/>
          <w:bCs/>
          <w:color w:val="000000"/>
          <w:kern w:val="0"/>
          <w:sz w:val="28"/>
          <w:szCs w:val="28"/>
          <w:lang w:val="en-US" w:eastAsia="zh-CN"/>
        </w:rPr>
      </w:pPr>
      <w:bookmarkStart w:id="0" w:name="_GoBack"/>
      <w:bookmarkEnd w:id="0"/>
    </w:p>
    <w:sectPr>
      <w:pgSz w:w="16838" w:h="11906" w:orient="landscape"/>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0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altName w:val="方正黑体_GBK"/>
    <w:panose1 w:val="020B0503020204020204"/>
    <w:charset w:val="86"/>
    <w:family w:val="swiss"/>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A6CC8E"/>
    <w:multiLevelType w:val="singleLevel"/>
    <w:tmpl w:val="FEA6CC8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NhZDhmZTJhYWYzYjUzNDBiYzk0OTU2MGE3NWM2ODgifQ=="/>
  </w:docVars>
  <w:rsids>
    <w:rsidRoot w:val="00000000"/>
    <w:rsid w:val="001D745B"/>
    <w:rsid w:val="02DF39F5"/>
    <w:rsid w:val="07AB20F7"/>
    <w:rsid w:val="0F0033A1"/>
    <w:rsid w:val="13E928C2"/>
    <w:rsid w:val="19A7220C"/>
    <w:rsid w:val="1BBA1425"/>
    <w:rsid w:val="1F59095F"/>
    <w:rsid w:val="1FFD32AF"/>
    <w:rsid w:val="23FCE18B"/>
    <w:rsid w:val="25485C10"/>
    <w:rsid w:val="257EA6D2"/>
    <w:rsid w:val="27BF5242"/>
    <w:rsid w:val="28EF2BAC"/>
    <w:rsid w:val="29B73AB2"/>
    <w:rsid w:val="2A3A5DFB"/>
    <w:rsid w:val="33F9EEB5"/>
    <w:rsid w:val="35076310"/>
    <w:rsid w:val="37B7C0FE"/>
    <w:rsid w:val="3E7EC14B"/>
    <w:rsid w:val="3EDF5240"/>
    <w:rsid w:val="3EDFEDC9"/>
    <w:rsid w:val="3F7F75A3"/>
    <w:rsid w:val="3FBB9408"/>
    <w:rsid w:val="3FCDB305"/>
    <w:rsid w:val="3FD1105C"/>
    <w:rsid w:val="3FE75659"/>
    <w:rsid w:val="3FF44DBD"/>
    <w:rsid w:val="3FFD86B3"/>
    <w:rsid w:val="4BFEDD58"/>
    <w:rsid w:val="4E7F2062"/>
    <w:rsid w:val="55944E55"/>
    <w:rsid w:val="57FE35BA"/>
    <w:rsid w:val="59DEB252"/>
    <w:rsid w:val="59F6E9B7"/>
    <w:rsid w:val="5BDFFBF8"/>
    <w:rsid w:val="5D791971"/>
    <w:rsid w:val="5D7D43D5"/>
    <w:rsid w:val="5DDAE091"/>
    <w:rsid w:val="5E91E7DD"/>
    <w:rsid w:val="5F6A0C5C"/>
    <w:rsid w:val="5FD91D5A"/>
    <w:rsid w:val="5FDC55A4"/>
    <w:rsid w:val="5FF9F3BA"/>
    <w:rsid w:val="63BFC289"/>
    <w:rsid w:val="65DD1761"/>
    <w:rsid w:val="67DB612C"/>
    <w:rsid w:val="67DF1122"/>
    <w:rsid w:val="6AFAF8BC"/>
    <w:rsid w:val="6AFF6EB3"/>
    <w:rsid w:val="6B7F5A2F"/>
    <w:rsid w:val="6C7FC821"/>
    <w:rsid w:val="6D7F8143"/>
    <w:rsid w:val="6F0E13F6"/>
    <w:rsid w:val="6F687F41"/>
    <w:rsid w:val="6FE54288"/>
    <w:rsid w:val="716F8BF3"/>
    <w:rsid w:val="72EF2503"/>
    <w:rsid w:val="733D99AD"/>
    <w:rsid w:val="73478185"/>
    <w:rsid w:val="73D9E031"/>
    <w:rsid w:val="74C9E4D5"/>
    <w:rsid w:val="755FA388"/>
    <w:rsid w:val="75662603"/>
    <w:rsid w:val="764F28A9"/>
    <w:rsid w:val="7774BF55"/>
    <w:rsid w:val="77D428BA"/>
    <w:rsid w:val="77FE6EDD"/>
    <w:rsid w:val="77FF0512"/>
    <w:rsid w:val="796A5097"/>
    <w:rsid w:val="7BDFF436"/>
    <w:rsid w:val="7BE5291D"/>
    <w:rsid w:val="7BFBD7ED"/>
    <w:rsid w:val="7BFCB003"/>
    <w:rsid w:val="7BFD80B2"/>
    <w:rsid w:val="7CEECCF7"/>
    <w:rsid w:val="7CFFDC51"/>
    <w:rsid w:val="7DC77420"/>
    <w:rsid w:val="7DDFFE24"/>
    <w:rsid w:val="7DF3A18C"/>
    <w:rsid w:val="7DF7F1ED"/>
    <w:rsid w:val="7E0BCD01"/>
    <w:rsid w:val="7EC24EFD"/>
    <w:rsid w:val="7ECD4E98"/>
    <w:rsid w:val="7ED2F736"/>
    <w:rsid w:val="7ED46C5B"/>
    <w:rsid w:val="7EEFE32E"/>
    <w:rsid w:val="7F3828A3"/>
    <w:rsid w:val="7F5EC3A1"/>
    <w:rsid w:val="7F7F3EBC"/>
    <w:rsid w:val="7FD1E0B3"/>
    <w:rsid w:val="7FD91D2C"/>
    <w:rsid w:val="7FD9715B"/>
    <w:rsid w:val="7FF637F5"/>
    <w:rsid w:val="7FFF252F"/>
    <w:rsid w:val="85F505FF"/>
    <w:rsid w:val="86FFF2C7"/>
    <w:rsid w:val="8AF64789"/>
    <w:rsid w:val="9FEF5C0D"/>
    <w:rsid w:val="9FF9A875"/>
    <w:rsid w:val="9FFBA201"/>
    <w:rsid w:val="9FFC2600"/>
    <w:rsid w:val="A5F464B3"/>
    <w:rsid w:val="A5FB0C12"/>
    <w:rsid w:val="A7DF3D52"/>
    <w:rsid w:val="AABF1EDD"/>
    <w:rsid w:val="ABE572BD"/>
    <w:rsid w:val="AE7FE57C"/>
    <w:rsid w:val="AFB73D5D"/>
    <w:rsid w:val="AFB78423"/>
    <w:rsid w:val="AFB8E20C"/>
    <w:rsid w:val="B4B58531"/>
    <w:rsid w:val="B4DB7851"/>
    <w:rsid w:val="B4FE2329"/>
    <w:rsid w:val="B5941210"/>
    <w:rsid w:val="B67EBA5C"/>
    <w:rsid w:val="B6FF0B51"/>
    <w:rsid w:val="BBFF9D0A"/>
    <w:rsid w:val="BC399565"/>
    <w:rsid w:val="BF7FD7FB"/>
    <w:rsid w:val="BFE5DFCC"/>
    <w:rsid w:val="BFFB4B24"/>
    <w:rsid w:val="BFFF429F"/>
    <w:rsid w:val="BFFFF004"/>
    <w:rsid w:val="C7DAE4FE"/>
    <w:rsid w:val="CCDE21F1"/>
    <w:rsid w:val="CDF5BA32"/>
    <w:rsid w:val="CDF70E75"/>
    <w:rsid w:val="CEEE9A19"/>
    <w:rsid w:val="D3BD30C9"/>
    <w:rsid w:val="D6F75CF3"/>
    <w:rsid w:val="D76DF423"/>
    <w:rsid w:val="D7F20C1D"/>
    <w:rsid w:val="D7FD38F9"/>
    <w:rsid w:val="DB7B626F"/>
    <w:rsid w:val="DBBE06AB"/>
    <w:rsid w:val="DBFDAFAF"/>
    <w:rsid w:val="DCEC22DA"/>
    <w:rsid w:val="DE7F1815"/>
    <w:rsid w:val="DEE5E1DD"/>
    <w:rsid w:val="DF9F94CF"/>
    <w:rsid w:val="DFEFAC91"/>
    <w:rsid w:val="E06FF81F"/>
    <w:rsid w:val="E1F2875C"/>
    <w:rsid w:val="E7179880"/>
    <w:rsid w:val="E7F1D46B"/>
    <w:rsid w:val="E7FB004E"/>
    <w:rsid w:val="EC71FE8E"/>
    <w:rsid w:val="EEFF5D88"/>
    <w:rsid w:val="EF4BB73C"/>
    <w:rsid w:val="EFBB4170"/>
    <w:rsid w:val="EFFBB54C"/>
    <w:rsid w:val="EFFD3029"/>
    <w:rsid w:val="F2ABC83B"/>
    <w:rsid w:val="F3FE9B23"/>
    <w:rsid w:val="F5F13BF4"/>
    <w:rsid w:val="F675023C"/>
    <w:rsid w:val="F75F633C"/>
    <w:rsid w:val="F767EDA4"/>
    <w:rsid w:val="F77F37A6"/>
    <w:rsid w:val="F79E7B37"/>
    <w:rsid w:val="F7FF8374"/>
    <w:rsid w:val="F8D76A09"/>
    <w:rsid w:val="FBB97A60"/>
    <w:rsid w:val="FBBFEB52"/>
    <w:rsid w:val="FBEFBE10"/>
    <w:rsid w:val="FDCB264D"/>
    <w:rsid w:val="FDDB0926"/>
    <w:rsid w:val="FDDFE39B"/>
    <w:rsid w:val="FDFB8F49"/>
    <w:rsid w:val="FDFF75C0"/>
    <w:rsid w:val="FE35880D"/>
    <w:rsid w:val="FE6F3CF1"/>
    <w:rsid w:val="FE7BCF07"/>
    <w:rsid w:val="FEB7E9AA"/>
    <w:rsid w:val="FEBE4103"/>
    <w:rsid w:val="FEEEA87A"/>
    <w:rsid w:val="FEFB17BE"/>
    <w:rsid w:val="FF2B05CC"/>
    <w:rsid w:val="FF2FFDBA"/>
    <w:rsid w:val="FF3CB77D"/>
    <w:rsid w:val="FF67E6AF"/>
    <w:rsid w:val="FF7394E7"/>
    <w:rsid w:val="FF7DFD0C"/>
    <w:rsid w:val="FF7F07D0"/>
    <w:rsid w:val="FF7FC1A5"/>
    <w:rsid w:val="FFAD7797"/>
    <w:rsid w:val="FFB6067C"/>
    <w:rsid w:val="FFB74678"/>
    <w:rsid w:val="FFDDB92E"/>
    <w:rsid w:val="FFEB9EB6"/>
    <w:rsid w:val="FFFC5A1D"/>
    <w:rsid w:val="FFFD2FF2"/>
    <w:rsid w:val="FFFE5344"/>
    <w:rsid w:val="FFFF7025"/>
    <w:rsid w:val="FFFFA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keepNext/>
      <w:keepLines/>
      <w:spacing w:before="260" w:after="260" w:line="416" w:lineRule="atLeast"/>
      <w:outlineLvl w:val="2"/>
    </w:pPr>
    <w:rPr>
      <w:b/>
      <w:bCs/>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99"/>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110</Words>
  <Characters>115</Characters>
  <Lines>0</Lines>
  <Paragraphs>0</Paragraphs>
  <TotalTime>1</TotalTime>
  <ScaleCrop>false</ScaleCrop>
  <LinksUpToDate>false</LinksUpToDate>
  <CharactersWithSpaces>117</CharactersWithSpaces>
  <Application>WPS Office_12.1.0.17885_F1E327BC-269C-435d-A152-05C5408002CA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2023-02-07T08:12:00Z</dcterms:created>
  <dc:creator>Administrator</dc:creator>
  <cp:lastModifiedBy>yan</cp:lastModifiedBy>
  <cp:lastPrinted>2025-02-14T15:47:00Z</cp:lastPrinted>
  <dcterms:modified xsi:type="dcterms:W3CDTF">2025-03-05T13:59:14Z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2052-12.1.0.17885</vt:lpwstr>
  </property>
  <property fmtid="{D5CDD505-2E9C-101B-9397-08002B2CF9AE}" pid="3" name="ICV">
    <vt:lpwstr>9E496FE8FC0B421C8C968A49EACBDE6E</vt:lpwstr>
  </property>
</Properties>
</file>