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hd w:val="clear" w:color="auto" w:fill="FFFFFF"/>
        <w:spacing w:before="0" w:beforeAutospacing="0" w:after="0" w:afterAutospacing="0" w:line="560" w:lineRule="exact"/>
        <w:jc w:val="center"/>
        <w:rPr>
          <w:rFonts w:ascii="方正小标宋_GBK" w:hAnsi="Segoe UI" w:eastAsia="方正小标宋_GBK" w:cs="Segoe UI"/>
          <w:color w:val="000000" w:themeColor="text1"/>
          <w:spacing w:val="1"/>
          <w:sz w:val="44"/>
          <w:szCs w:val="44"/>
          <w14:textFill>
            <w14:solidFill>
              <w14:schemeClr w14:val="tx1"/>
            </w14:solidFill>
          </w14:textFill>
        </w:rPr>
      </w:pPr>
      <w:r>
        <w:rPr>
          <w:rFonts w:hint="eastAsia" w:ascii="方正小标宋_GBK" w:hAnsi="Segoe UI" w:eastAsia="方正小标宋_GBK" w:cs="Segoe UI"/>
          <w:color w:val="000000" w:themeColor="text1"/>
          <w:spacing w:val="1"/>
          <w:sz w:val="44"/>
          <w:szCs w:val="44"/>
          <w14:textFill>
            <w14:solidFill>
              <w14:schemeClr w14:val="tx1"/>
            </w14:solidFill>
          </w14:textFill>
        </w:rPr>
        <w:t>关于推进</w:t>
      </w:r>
      <w:bookmarkStart w:id="0" w:name="OLE_LINK1"/>
      <w:r>
        <w:rPr>
          <w:rFonts w:hint="eastAsia" w:ascii="方正小标宋_GBK" w:hAnsi="Segoe UI" w:eastAsia="方正小标宋_GBK" w:cs="Segoe UI"/>
          <w:color w:val="000000" w:themeColor="text1"/>
          <w:spacing w:val="1"/>
          <w:sz w:val="44"/>
          <w:szCs w:val="44"/>
          <w14:textFill>
            <w14:solidFill>
              <w14:schemeClr w14:val="tx1"/>
            </w14:solidFill>
          </w14:textFill>
        </w:rPr>
        <w:t>已建成地下空间完善用地手续</w:t>
      </w:r>
      <w:bookmarkEnd w:id="0"/>
    </w:p>
    <w:p>
      <w:pPr>
        <w:pStyle w:val="10"/>
        <w:shd w:val="clear" w:color="auto" w:fill="FFFFFF"/>
        <w:spacing w:before="0" w:beforeAutospacing="0" w:after="0" w:afterAutospacing="0" w:line="560" w:lineRule="exact"/>
        <w:jc w:val="center"/>
        <w:rPr>
          <w:rFonts w:hint="eastAsia" w:ascii="方正小标宋_GBK" w:hAnsi="Segoe UI" w:eastAsia="方正小标宋_GBK" w:cs="Segoe UI"/>
          <w:color w:val="000000" w:themeColor="text1"/>
          <w:spacing w:val="1"/>
          <w:sz w:val="44"/>
          <w:szCs w:val="44"/>
          <w:lang w:eastAsia="zh-CN"/>
          <w14:textFill>
            <w14:solidFill>
              <w14:schemeClr w14:val="tx1"/>
            </w14:solidFill>
          </w14:textFill>
        </w:rPr>
      </w:pPr>
      <w:r>
        <w:rPr>
          <w:rFonts w:hint="eastAsia" w:ascii="方正小标宋_GBK" w:hAnsi="Segoe UI" w:eastAsia="方正小标宋_GBK" w:cs="Segoe UI"/>
          <w:color w:val="000000" w:themeColor="text1"/>
          <w:spacing w:val="1"/>
          <w:sz w:val="44"/>
          <w:szCs w:val="44"/>
          <w14:textFill>
            <w14:solidFill>
              <w14:schemeClr w14:val="tx1"/>
            </w14:solidFill>
          </w14:textFill>
        </w:rPr>
        <w:t>办理的</w:t>
      </w:r>
      <w:r>
        <w:rPr>
          <w:rFonts w:ascii="方正小标宋_GBK" w:hAnsi="Segoe UI" w:eastAsia="方正小标宋_GBK" w:cs="Segoe UI"/>
          <w:color w:val="000000" w:themeColor="text1"/>
          <w:spacing w:val="1"/>
          <w:sz w:val="44"/>
          <w:szCs w:val="44"/>
          <w14:textFill>
            <w14:solidFill>
              <w14:schemeClr w14:val="tx1"/>
            </w14:solidFill>
          </w14:textFill>
        </w:rPr>
        <w:t>通知</w:t>
      </w:r>
      <w:r>
        <w:rPr>
          <w:rFonts w:hint="eastAsia" w:ascii="方正小标宋_GBK" w:hAnsi="Segoe UI" w:eastAsia="方正小标宋_GBK" w:cs="Segoe UI"/>
          <w:color w:val="000000" w:themeColor="text1"/>
          <w:spacing w:val="1"/>
          <w:sz w:val="44"/>
          <w:szCs w:val="44"/>
          <w:lang w:eastAsia="zh-CN"/>
          <w14:textFill>
            <w14:solidFill>
              <w14:schemeClr w14:val="tx1"/>
            </w14:solidFill>
          </w14:textFill>
        </w:rPr>
        <w:t>（征求意见稿）</w:t>
      </w:r>
    </w:p>
    <w:p>
      <w:pPr>
        <w:pStyle w:val="10"/>
        <w:shd w:val="clear" w:color="auto" w:fill="FFFFFF"/>
        <w:spacing w:before="0" w:beforeAutospacing="0" w:after="0" w:afterAutospacing="0" w:line="560" w:lineRule="exact"/>
        <w:jc w:val="both"/>
        <w:rPr>
          <w:rFonts w:ascii="仿宋_GB2312" w:eastAsia="仿宋_GB2312"/>
          <w:color w:val="000000" w:themeColor="text1"/>
          <w:sz w:val="32"/>
          <w:szCs w:val="32"/>
          <w14:textFill>
            <w14:solidFill>
              <w14:schemeClr w14:val="tx1"/>
            </w14:solidFill>
          </w14:textFill>
        </w:rPr>
      </w:pPr>
    </w:p>
    <w:p>
      <w:pPr>
        <w:pStyle w:val="10"/>
        <w:shd w:val="clear" w:color="auto" w:fill="FFFFFF"/>
        <w:spacing w:before="0" w:beforeAutospacing="0" w:after="0" w:afterAutospacing="0" w:line="560" w:lineRule="exact"/>
        <w:jc w:val="both"/>
        <w:rPr>
          <w:rFonts w:ascii="仿宋_GB2312" w:hAnsi="Segoe UI" w:eastAsia="仿宋_GB2312" w:cs="Segoe UI"/>
          <w:color w:val="000000" w:themeColor="text1"/>
          <w:spacing w:val="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各有关派出分局，局属有关单位，局机关有关处室：</w:t>
      </w:r>
    </w:p>
    <w:p>
      <w:pPr>
        <w:pStyle w:val="10"/>
        <w:shd w:val="clear" w:color="auto" w:fill="FFFFFF"/>
        <w:spacing w:before="0" w:beforeAutospacing="0" w:after="0" w:afterAutospacing="0" w:line="560" w:lineRule="exact"/>
        <w:ind w:firstLine="644" w:firstLineChars="200"/>
        <w:jc w:val="both"/>
        <w:rPr>
          <w:rFonts w:ascii="仿宋_GB2312" w:hAnsi="Segoe UI" w:eastAsia="仿宋_GB2312" w:cs="Segoe UI"/>
          <w:color w:val="000000" w:themeColor="text1"/>
          <w:spacing w:val="1"/>
          <w:sz w:val="32"/>
          <w:szCs w:val="32"/>
          <w14:textFill>
            <w14:solidFill>
              <w14:schemeClr w14:val="tx1"/>
            </w14:solidFill>
          </w14:textFill>
        </w:rPr>
      </w:pPr>
      <w:bookmarkStart w:id="1" w:name="OLE_LINK2"/>
      <w:r>
        <w:rPr>
          <w:rFonts w:hint="eastAsia" w:ascii="仿宋_GB2312" w:hAnsi="Segoe UI" w:eastAsia="仿宋_GB2312" w:cs="Segoe UI"/>
          <w:color w:val="000000" w:themeColor="text1"/>
          <w:spacing w:val="1"/>
          <w:sz w:val="32"/>
          <w:szCs w:val="32"/>
          <w14:textFill>
            <w14:solidFill>
              <w14:schemeClr w14:val="tx1"/>
            </w14:solidFill>
          </w14:textFill>
        </w:rPr>
        <w:t>为进一步优化营商环境，</w:t>
      </w:r>
      <w:r>
        <w:rPr>
          <w:rFonts w:ascii="仿宋_GB2312" w:hAnsi="Segoe UI" w:eastAsia="仿宋_GB2312" w:cs="Segoe UI"/>
          <w:color w:val="000000" w:themeColor="text1"/>
          <w:spacing w:val="1"/>
          <w:sz w:val="32"/>
          <w:szCs w:val="32"/>
          <w14:textFill>
            <w14:solidFill>
              <w14:schemeClr w14:val="tx1"/>
            </w14:solidFill>
          </w14:textFill>
        </w:rPr>
        <w:t>推动地下空间资源的有效利用和管理</w:t>
      </w:r>
      <w:r>
        <w:rPr>
          <w:rFonts w:hint="eastAsia" w:ascii="仿宋_GB2312" w:hAnsi="Segoe UI" w:eastAsia="仿宋_GB2312" w:cs="Segoe UI"/>
          <w:color w:val="000000" w:themeColor="text1"/>
          <w:spacing w:val="1"/>
          <w:sz w:val="32"/>
          <w:szCs w:val="32"/>
          <w14:textFill>
            <w14:solidFill>
              <w14:schemeClr w14:val="tx1"/>
            </w14:solidFill>
          </w14:textFill>
        </w:rPr>
        <w:t>，</w:t>
      </w:r>
      <w:bookmarkEnd w:id="1"/>
      <w:r>
        <w:rPr>
          <w:rFonts w:hint="eastAsia" w:ascii="仿宋_GB2312" w:hAnsi="Segoe UI" w:eastAsia="仿宋_GB2312" w:cs="Segoe UI"/>
          <w:color w:val="000000" w:themeColor="text1"/>
          <w:spacing w:val="1"/>
          <w:sz w:val="32"/>
          <w:szCs w:val="32"/>
          <w14:textFill>
            <w14:solidFill>
              <w14:schemeClr w14:val="tx1"/>
            </w14:solidFill>
          </w14:textFill>
        </w:rPr>
        <w:t>依据《立法法》</w:t>
      </w:r>
      <w:r>
        <w:rPr>
          <w:rFonts w:hint="eastAsia" w:ascii="仿宋_GB2312" w:hAnsi="Segoe UI" w:eastAsia="仿宋_GB2312" w:cs="Segoe UI"/>
          <w:color w:val="000000" w:themeColor="text1"/>
          <w:spacing w:val="1"/>
          <w:sz w:val="32"/>
          <w:szCs w:val="32"/>
          <w:highlight w:val="none"/>
          <w14:textFill>
            <w14:solidFill>
              <w14:schemeClr w14:val="tx1"/>
            </w14:solidFill>
          </w14:textFill>
        </w:rPr>
        <w:t>《青岛市地下空间开发利用管理条例》</w:t>
      </w:r>
      <w:r>
        <w:rPr>
          <w:rFonts w:hint="eastAsia" w:ascii="仿宋_GB2312" w:hAnsi="Segoe UI" w:eastAsia="仿宋_GB2312" w:cs="Segoe UI"/>
          <w:color w:val="000000" w:themeColor="text1"/>
          <w:spacing w:val="1"/>
          <w:sz w:val="32"/>
          <w:szCs w:val="32"/>
          <w14:textFill>
            <w14:solidFill>
              <w14:schemeClr w14:val="tx1"/>
            </w14:solidFill>
          </w14:textFill>
        </w:rPr>
        <w:t>《自</w:t>
      </w:r>
      <w:bookmarkStart w:id="2" w:name="_GoBack"/>
      <w:bookmarkEnd w:id="2"/>
      <w:r>
        <w:rPr>
          <w:rFonts w:hint="eastAsia" w:ascii="仿宋_GB2312" w:hAnsi="Segoe UI" w:eastAsia="仿宋_GB2312" w:cs="Segoe UI"/>
          <w:color w:val="000000" w:themeColor="text1"/>
          <w:spacing w:val="1"/>
          <w:sz w:val="32"/>
          <w:szCs w:val="32"/>
          <w14:textFill>
            <w14:solidFill>
              <w14:schemeClr w14:val="tx1"/>
            </w14:solidFill>
          </w14:textFill>
        </w:rPr>
        <w:t>然资源部关于探索推进城市地下空间开发利用的指导意见》（自然资发〔2024〕146号）以及《青岛市地下空间国有建设用地使用权管理办法》（青自然资规（规）字〔202</w:t>
      </w:r>
      <w:r>
        <w:rPr>
          <w:rFonts w:ascii="仿宋_GB2312" w:hAnsi="Segoe UI" w:eastAsia="仿宋_GB2312" w:cs="Segoe UI"/>
          <w:color w:val="000000" w:themeColor="text1"/>
          <w:spacing w:val="1"/>
          <w:sz w:val="32"/>
          <w:szCs w:val="32"/>
          <w14:textFill>
            <w14:solidFill>
              <w14:schemeClr w14:val="tx1"/>
            </w14:solidFill>
          </w14:textFill>
        </w:rPr>
        <w:t>5</w:t>
      </w:r>
      <w:r>
        <w:rPr>
          <w:rFonts w:hint="eastAsia" w:ascii="仿宋_GB2312" w:hAnsi="Segoe UI" w:eastAsia="仿宋_GB2312" w:cs="Segoe UI"/>
          <w:color w:val="000000" w:themeColor="text1"/>
          <w:spacing w:val="1"/>
          <w:sz w:val="32"/>
          <w:szCs w:val="32"/>
          <w14:textFill>
            <w14:solidFill>
              <w14:schemeClr w14:val="tx1"/>
            </w14:solidFill>
          </w14:textFill>
        </w:rPr>
        <w:t>〕</w:t>
      </w:r>
      <w:r>
        <w:rPr>
          <w:rFonts w:ascii="仿宋_GB2312" w:hAnsi="Segoe UI" w:eastAsia="仿宋_GB2312" w:cs="Segoe UI"/>
          <w:color w:val="000000" w:themeColor="text1"/>
          <w:spacing w:val="1"/>
          <w:sz w:val="32"/>
          <w:szCs w:val="32"/>
          <w14:textFill>
            <w14:solidFill>
              <w14:schemeClr w14:val="tx1"/>
            </w14:solidFill>
          </w14:textFill>
        </w:rPr>
        <w:t>1</w:t>
      </w:r>
      <w:r>
        <w:rPr>
          <w:rFonts w:hint="eastAsia" w:ascii="仿宋_GB2312" w:hAnsi="Segoe UI" w:eastAsia="仿宋_GB2312" w:cs="Segoe UI"/>
          <w:color w:val="000000" w:themeColor="text1"/>
          <w:spacing w:val="1"/>
          <w:sz w:val="32"/>
          <w:szCs w:val="32"/>
          <w14:textFill>
            <w14:solidFill>
              <w14:schemeClr w14:val="tx1"/>
            </w14:solidFill>
          </w14:textFill>
        </w:rPr>
        <w:t>号）等文件精神，结合我市实际，现就已建成地下空间完善用地手续相关</w:t>
      </w:r>
      <w:r>
        <w:rPr>
          <w:rFonts w:hint="eastAsia" w:ascii="仿宋_GB2312" w:hAnsi="Segoe UI" w:eastAsia="仿宋_GB2312" w:cs="Segoe UI"/>
          <w:color w:val="000000" w:themeColor="text1"/>
          <w:spacing w:val="1"/>
          <w:sz w:val="32"/>
          <w:szCs w:val="32"/>
          <w:lang w:val="en-US" w:eastAsia="zh-CN"/>
          <w14:textFill>
            <w14:solidFill>
              <w14:schemeClr w14:val="tx1"/>
            </w14:solidFill>
          </w14:textFill>
        </w:rPr>
        <w:t>事宜</w:t>
      </w:r>
      <w:r>
        <w:rPr>
          <w:rFonts w:hint="eastAsia" w:ascii="仿宋_GB2312" w:hAnsi="Segoe UI" w:eastAsia="仿宋_GB2312" w:cs="Segoe UI"/>
          <w:color w:val="000000" w:themeColor="text1"/>
          <w:spacing w:val="1"/>
          <w:sz w:val="32"/>
          <w:szCs w:val="32"/>
          <w14:textFill>
            <w14:solidFill>
              <w14:schemeClr w14:val="tx1"/>
            </w14:solidFill>
          </w14:textFill>
        </w:rPr>
        <w:t>通知如下。</w:t>
      </w:r>
    </w:p>
    <w:p>
      <w:pPr>
        <w:pStyle w:val="10"/>
        <w:shd w:val="clear" w:color="auto" w:fill="FFFFFF"/>
        <w:spacing w:before="0" w:beforeAutospacing="0" w:after="0" w:afterAutospacing="0" w:line="560" w:lineRule="exact"/>
        <w:ind w:firstLine="644" w:firstLineChars="200"/>
        <w:jc w:val="both"/>
        <w:rPr>
          <w:rFonts w:ascii="黑体" w:hAnsi="黑体" w:eastAsia="黑体" w:cs="Segoe UI"/>
          <w:color w:val="000000" w:themeColor="text1"/>
          <w:spacing w:val="1"/>
          <w:sz w:val="32"/>
          <w:szCs w:val="32"/>
          <w14:textFill>
            <w14:solidFill>
              <w14:schemeClr w14:val="tx1"/>
            </w14:solidFill>
          </w14:textFill>
        </w:rPr>
      </w:pPr>
      <w:r>
        <w:rPr>
          <w:rFonts w:hint="eastAsia" w:ascii="黑体" w:hAnsi="黑体" w:eastAsia="黑体" w:cs="Segoe UI"/>
          <w:color w:val="000000" w:themeColor="text1"/>
          <w:spacing w:val="1"/>
          <w:sz w:val="32"/>
          <w:szCs w:val="32"/>
          <w14:textFill>
            <w14:solidFill>
              <w14:schemeClr w14:val="tx1"/>
            </w14:solidFill>
          </w14:textFill>
        </w:rPr>
        <w:t>一、适用范围</w:t>
      </w:r>
    </w:p>
    <w:p>
      <w:pPr>
        <w:pStyle w:val="10"/>
        <w:shd w:val="clear" w:color="auto" w:fill="FFFFFF"/>
        <w:spacing w:before="0" w:beforeAutospacing="0" w:after="0" w:afterAutospacing="0" w:line="560" w:lineRule="exact"/>
        <w:ind w:firstLine="644" w:firstLineChars="200"/>
        <w:jc w:val="both"/>
        <w:rPr>
          <w:rFonts w:hint="eastAsia" w:ascii="仿宋_GB2312" w:hAnsi="Segoe UI" w:eastAsia="仿宋_GB2312" w:cs="Segoe UI"/>
          <w:color w:val="000000" w:themeColor="text1"/>
          <w:spacing w:val="1"/>
          <w:sz w:val="32"/>
          <w:szCs w:val="32"/>
          <w14:textFill>
            <w14:solidFill>
              <w14:schemeClr w14:val="tx1"/>
            </w14:solidFill>
          </w14:textFill>
        </w:rPr>
      </w:pPr>
      <w:r>
        <w:rPr>
          <w:rFonts w:hint="eastAsia" w:ascii="仿宋_GB2312" w:hAnsi="Segoe UI" w:eastAsia="仿宋_GB2312" w:cs="Segoe UI"/>
          <w:color w:val="000000" w:themeColor="text1"/>
          <w:spacing w:val="1"/>
          <w:sz w:val="32"/>
          <w:szCs w:val="32"/>
          <w14:textFill>
            <w14:solidFill>
              <w14:schemeClr w14:val="tx1"/>
            </w14:solidFill>
          </w14:textFill>
        </w:rPr>
        <w:t>2015年1月12日《青岛市国土资源和房屋管理局地下空间国有建设用地使用权管理办法》（</w:t>
      </w:r>
      <w:r>
        <w:rPr>
          <w:rFonts w:hint="eastAsia" w:ascii="仿宋_GB2312" w:eastAsia="仿宋_GB2312"/>
          <w:bCs/>
          <w:color w:val="000000" w:themeColor="text1"/>
          <w:sz w:val="32"/>
          <w14:textFill>
            <w14:solidFill>
              <w14:schemeClr w14:val="tx1"/>
            </w14:solidFill>
          </w14:textFill>
        </w:rPr>
        <w:t>青土资房发〔2014〕656号</w:t>
      </w:r>
      <w:r>
        <w:rPr>
          <w:rFonts w:hint="eastAsia" w:ascii="仿宋_GB2312" w:hAnsi="Segoe UI" w:eastAsia="仿宋_GB2312" w:cs="Segoe UI"/>
          <w:color w:val="000000" w:themeColor="text1"/>
          <w:spacing w:val="1"/>
          <w:sz w:val="32"/>
          <w:szCs w:val="32"/>
          <w14:textFill>
            <w14:solidFill>
              <w14:schemeClr w14:val="tx1"/>
            </w14:solidFill>
          </w14:textFill>
        </w:rPr>
        <w:t>）实施前已办理</w:t>
      </w:r>
      <w:r>
        <w:rPr>
          <w:rFonts w:ascii="仿宋_GB2312" w:hAnsi="Segoe UI" w:eastAsia="仿宋_GB2312" w:cs="Segoe UI"/>
          <w:color w:val="000000" w:themeColor="text1"/>
          <w:spacing w:val="1"/>
          <w:sz w:val="32"/>
          <w:szCs w:val="32"/>
          <w14:textFill>
            <w14:solidFill>
              <w14:schemeClr w14:val="tx1"/>
            </w14:solidFill>
          </w14:textFill>
        </w:rPr>
        <w:t>房屋所有权首次登记项目</w:t>
      </w:r>
      <w:r>
        <w:rPr>
          <w:rFonts w:hint="eastAsia" w:ascii="仿宋_GB2312" w:hAnsi="Segoe UI" w:eastAsia="仿宋_GB2312" w:cs="Segoe UI"/>
          <w:color w:val="000000" w:themeColor="text1"/>
          <w:spacing w:val="1"/>
          <w:sz w:val="32"/>
          <w:szCs w:val="32"/>
          <w:lang w:val="en-US" w:eastAsia="zh-CN"/>
          <w14:textFill>
            <w14:solidFill>
              <w14:schemeClr w14:val="tx1"/>
            </w14:solidFill>
          </w14:textFill>
        </w:rPr>
        <w:t>的</w:t>
      </w:r>
      <w:r>
        <w:rPr>
          <w:rFonts w:hint="eastAsia" w:ascii="仿宋_GB2312" w:hAnsi="Segoe UI" w:eastAsia="仿宋_GB2312" w:cs="Segoe UI"/>
          <w:color w:val="000000" w:themeColor="text1"/>
          <w:spacing w:val="1"/>
          <w:sz w:val="32"/>
          <w:szCs w:val="32"/>
          <w14:textFill>
            <w14:solidFill>
              <w14:schemeClr w14:val="tx1"/>
            </w14:solidFill>
          </w14:textFill>
        </w:rPr>
        <w:t>地下空间，依法完善相关用地手续。</w:t>
      </w:r>
    </w:p>
    <w:p>
      <w:pPr>
        <w:pStyle w:val="10"/>
        <w:shd w:val="clear" w:color="auto" w:fill="FFFFFF"/>
        <w:spacing w:before="0" w:beforeAutospacing="0" w:after="0" w:afterAutospacing="0" w:line="560" w:lineRule="exact"/>
        <w:ind w:firstLine="644" w:firstLineChars="200"/>
        <w:jc w:val="both"/>
        <w:rPr>
          <w:rFonts w:hint="default" w:ascii="仿宋_GB2312" w:hAnsi="Segoe UI" w:eastAsia="仿宋_GB2312" w:cs="Segoe UI"/>
          <w:color w:val="000000" w:themeColor="text1"/>
          <w:spacing w:val="1"/>
          <w:sz w:val="32"/>
          <w:szCs w:val="32"/>
          <w:lang w:val="en-US" w:eastAsia="zh-CN"/>
          <w14:textFill>
            <w14:solidFill>
              <w14:schemeClr w14:val="tx1"/>
            </w14:solidFill>
          </w14:textFill>
        </w:rPr>
      </w:pPr>
      <w:r>
        <w:rPr>
          <w:rFonts w:hint="eastAsia" w:ascii="仿宋_GB2312" w:hAnsi="Segoe UI" w:eastAsia="仿宋_GB2312" w:cs="Segoe UI"/>
          <w:color w:val="000000" w:themeColor="text1"/>
          <w:spacing w:val="1"/>
          <w:sz w:val="32"/>
          <w:szCs w:val="32"/>
          <w14:textFill>
            <w14:solidFill>
              <w14:schemeClr w14:val="tx1"/>
            </w14:solidFill>
          </w14:textFill>
        </w:rPr>
        <w:t>本通知适用于市南区</w:t>
      </w:r>
      <w:r>
        <w:rPr>
          <w:rFonts w:ascii="仿宋_GB2312" w:hAnsi="Segoe UI" w:eastAsia="仿宋_GB2312" w:cs="Segoe UI"/>
          <w:color w:val="000000" w:themeColor="text1"/>
          <w:spacing w:val="1"/>
          <w:sz w:val="32"/>
          <w:szCs w:val="32"/>
          <w14:textFill>
            <w14:solidFill>
              <w14:schemeClr w14:val="tx1"/>
            </w14:solidFill>
          </w14:textFill>
        </w:rPr>
        <w:t>、市北</w:t>
      </w:r>
      <w:r>
        <w:rPr>
          <w:rFonts w:hint="eastAsia" w:ascii="仿宋_GB2312" w:hAnsi="Segoe UI" w:eastAsia="仿宋_GB2312" w:cs="Segoe UI"/>
          <w:color w:val="000000" w:themeColor="text1"/>
          <w:spacing w:val="1"/>
          <w:sz w:val="32"/>
          <w:szCs w:val="32"/>
          <w14:textFill>
            <w14:solidFill>
              <w14:schemeClr w14:val="tx1"/>
            </w14:solidFill>
          </w14:textFill>
        </w:rPr>
        <w:t>区</w:t>
      </w:r>
      <w:r>
        <w:rPr>
          <w:rFonts w:ascii="仿宋_GB2312" w:hAnsi="Segoe UI" w:eastAsia="仿宋_GB2312" w:cs="Segoe UI"/>
          <w:color w:val="000000" w:themeColor="text1"/>
          <w:spacing w:val="1"/>
          <w:sz w:val="32"/>
          <w:szCs w:val="32"/>
          <w14:textFill>
            <w14:solidFill>
              <w14:schemeClr w14:val="tx1"/>
            </w14:solidFill>
          </w14:textFill>
        </w:rPr>
        <w:t>、李沧</w:t>
      </w:r>
      <w:r>
        <w:rPr>
          <w:rFonts w:hint="eastAsia" w:ascii="仿宋_GB2312" w:hAnsi="Segoe UI" w:eastAsia="仿宋_GB2312" w:cs="Segoe UI"/>
          <w:color w:val="000000" w:themeColor="text1"/>
          <w:spacing w:val="1"/>
          <w:sz w:val="32"/>
          <w:szCs w:val="32"/>
          <w14:textFill>
            <w14:solidFill>
              <w14:schemeClr w14:val="tx1"/>
            </w14:solidFill>
          </w14:textFill>
        </w:rPr>
        <w:t>区</w:t>
      </w:r>
      <w:r>
        <w:rPr>
          <w:rFonts w:hint="eastAsia" w:ascii="仿宋_GB2312" w:hAnsi="Segoe UI" w:eastAsia="仿宋_GB2312" w:cs="Segoe UI"/>
          <w:color w:val="000000" w:themeColor="text1"/>
          <w:spacing w:val="1"/>
          <w:sz w:val="32"/>
          <w:szCs w:val="32"/>
          <w:lang w:eastAsia="zh-CN"/>
          <w14:textFill>
            <w14:solidFill>
              <w14:schemeClr w14:val="tx1"/>
            </w14:solidFill>
          </w14:textFill>
        </w:rPr>
        <w:t>；</w:t>
      </w:r>
      <w:r>
        <w:rPr>
          <w:rFonts w:hint="eastAsia" w:ascii="仿宋_GB2312" w:hAnsi="Segoe UI" w:eastAsia="仿宋_GB2312" w:cs="Segoe UI"/>
          <w:color w:val="000000" w:themeColor="text1"/>
          <w:spacing w:val="1"/>
          <w:sz w:val="32"/>
          <w:szCs w:val="32"/>
          <w:lang w:val="en-US" w:eastAsia="zh-CN"/>
          <w14:textFill>
            <w14:solidFill>
              <w14:schemeClr w14:val="tx1"/>
            </w14:solidFill>
          </w14:textFill>
        </w:rPr>
        <w:t>其他区（市）可参照执行，也可结合实际自行制定办法。</w:t>
      </w:r>
    </w:p>
    <w:p>
      <w:pPr>
        <w:pStyle w:val="10"/>
        <w:shd w:val="clear" w:color="auto" w:fill="FFFFFF"/>
        <w:spacing w:before="0" w:beforeAutospacing="0" w:after="0" w:afterAutospacing="0" w:line="560" w:lineRule="exact"/>
        <w:ind w:firstLine="644" w:firstLineChars="200"/>
        <w:jc w:val="both"/>
        <w:rPr>
          <w:rFonts w:ascii="仿宋_GB2312" w:hAnsi="Segoe UI" w:eastAsia="仿宋_GB2312" w:cs="Segoe UI"/>
          <w:color w:val="000000" w:themeColor="text1"/>
          <w:spacing w:val="1"/>
          <w:sz w:val="32"/>
          <w:szCs w:val="32"/>
          <w14:textFill>
            <w14:solidFill>
              <w14:schemeClr w14:val="tx1"/>
            </w14:solidFill>
          </w14:textFill>
        </w:rPr>
      </w:pPr>
      <w:r>
        <w:rPr>
          <w:rFonts w:hint="eastAsia" w:ascii="黑体" w:hAnsi="黑体" w:eastAsia="黑体" w:cs="Segoe UI"/>
          <w:color w:val="000000" w:themeColor="text1"/>
          <w:spacing w:val="1"/>
          <w:sz w:val="32"/>
          <w:szCs w:val="32"/>
          <w14:textFill>
            <w14:solidFill>
              <w14:schemeClr w14:val="tx1"/>
            </w14:solidFill>
          </w14:textFill>
        </w:rPr>
        <w:t>二、供地方式确定</w:t>
      </w:r>
    </w:p>
    <w:p>
      <w:pPr>
        <w:pStyle w:val="10"/>
        <w:shd w:val="clear" w:color="auto" w:fill="FFFFFF"/>
        <w:spacing w:before="0" w:beforeAutospacing="0" w:after="0" w:afterAutospacing="0" w:line="560" w:lineRule="exact"/>
        <w:ind w:firstLine="644" w:firstLineChars="200"/>
        <w:jc w:val="both"/>
        <w:rPr>
          <w:rFonts w:ascii="仿宋_GB2312" w:hAnsi="Segoe UI" w:eastAsia="仿宋_GB2312" w:cs="Segoe UI"/>
          <w:color w:val="000000" w:themeColor="text1"/>
          <w:spacing w:val="1"/>
          <w:sz w:val="32"/>
          <w:szCs w:val="32"/>
          <w14:textFill>
            <w14:solidFill>
              <w14:schemeClr w14:val="tx1"/>
            </w14:solidFill>
          </w14:textFill>
        </w:rPr>
      </w:pPr>
      <w:r>
        <w:rPr>
          <w:rFonts w:hint="eastAsia" w:ascii="仿宋_GB2312" w:hAnsi="Segoe UI" w:eastAsia="仿宋_GB2312" w:cs="Segoe UI"/>
          <w:color w:val="000000"/>
          <w:spacing w:val="1"/>
          <w:sz w:val="32"/>
          <w:szCs w:val="32"/>
        </w:rPr>
        <w:t>地下空间国有建设用地根据自然资源和规划行政主管部门批准的用途</w:t>
      </w:r>
      <w:r>
        <w:rPr>
          <w:rFonts w:hint="eastAsia" w:ascii="仿宋_GB2312" w:hAnsi="Segoe UI" w:eastAsia="仿宋_GB2312" w:cs="Segoe UI"/>
          <w:color w:val="000000"/>
          <w:spacing w:val="1"/>
          <w:sz w:val="32"/>
          <w:szCs w:val="32"/>
          <w:lang w:val="en-US" w:eastAsia="zh-CN"/>
        </w:rPr>
        <w:t>确定供地方式</w:t>
      </w:r>
      <w:r>
        <w:rPr>
          <w:rFonts w:hint="eastAsia" w:ascii="仿宋_GB2312" w:hAnsi="Segoe UI" w:eastAsia="仿宋_GB2312" w:cs="Segoe UI"/>
          <w:color w:val="000000"/>
          <w:spacing w:val="1"/>
          <w:sz w:val="32"/>
          <w:szCs w:val="32"/>
        </w:rPr>
        <w:t>。</w:t>
      </w:r>
      <w:r>
        <w:rPr>
          <w:rFonts w:hint="eastAsia" w:ascii="仿宋_GB2312" w:hAnsi="Segoe UI" w:eastAsia="仿宋_GB2312" w:cs="Segoe UI"/>
          <w:color w:val="000000" w:themeColor="text1"/>
          <w:spacing w:val="1"/>
          <w:sz w:val="32"/>
          <w:szCs w:val="32"/>
          <w14:textFill>
            <w14:solidFill>
              <w14:schemeClr w14:val="tx1"/>
            </w14:solidFill>
          </w14:textFill>
        </w:rPr>
        <w:t>符合</w:t>
      </w:r>
      <w:r>
        <w:rPr>
          <w:rFonts w:hint="eastAsia" w:ascii="仿宋_GB2312" w:hAnsi="Segoe UI" w:eastAsia="仿宋_GB2312" w:cs="Segoe UI"/>
          <w:color w:val="000000" w:themeColor="text1"/>
          <w:spacing w:val="1"/>
          <w:sz w:val="32"/>
          <w:szCs w:val="32"/>
          <w:lang w:eastAsia="zh-CN"/>
          <w14:textFill>
            <w14:solidFill>
              <w14:schemeClr w14:val="tx1"/>
            </w14:solidFill>
          </w14:textFill>
        </w:rPr>
        <w:t>《</w:t>
      </w:r>
      <w:r>
        <w:rPr>
          <w:rFonts w:hint="eastAsia" w:ascii="仿宋_GB2312" w:hAnsi="Segoe UI" w:eastAsia="仿宋_GB2312" w:cs="Segoe UI"/>
          <w:color w:val="000000" w:themeColor="text1"/>
          <w:spacing w:val="1"/>
          <w:sz w:val="32"/>
          <w:szCs w:val="32"/>
          <w14:textFill>
            <w14:solidFill>
              <w14:schemeClr w14:val="tx1"/>
            </w14:solidFill>
          </w14:textFill>
        </w:rPr>
        <w:t>划拨用地目录</w:t>
      </w:r>
      <w:r>
        <w:rPr>
          <w:rFonts w:hint="eastAsia" w:ascii="仿宋_GB2312" w:hAnsi="Segoe UI" w:eastAsia="仿宋_GB2312" w:cs="Segoe UI"/>
          <w:color w:val="000000" w:themeColor="text1"/>
          <w:spacing w:val="1"/>
          <w:sz w:val="32"/>
          <w:szCs w:val="32"/>
          <w:lang w:eastAsia="zh-CN"/>
          <w14:textFill>
            <w14:solidFill>
              <w14:schemeClr w14:val="tx1"/>
            </w14:solidFill>
          </w14:textFill>
        </w:rPr>
        <w:t>》</w:t>
      </w:r>
      <w:r>
        <w:rPr>
          <w:rFonts w:hint="eastAsia" w:ascii="仿宋_GB2312" w:hAnsi="Segoe UI" w:eastAsia="仿宋_GB2312" w:cs="Segoe UI"/>
          <w:color w:val="000000" w:themeColor="text1"/>
          <w:spacing w:val="1"/>
          <w:sz w:val="32"/>
          <w:szCs w:val="32"/>
          <w14:textFill>
            <w14:solidFill>
              <w14:schemeClr w14:val="tx1"/>
            </w14:solidFill>
          </w14:textFill>
        </w:rPr>
        <w:t>的，可采用划拨方式补办</w:t>
      </w:r>
      <w:r>
        <w:rPr>
          <w:rFonts w:ascii="仿宋_GB2312" w:hAnsi="Segoe UI" w:eastAsia="仿宋_GB2312" w:cs="Segoe UI"/>
          <w:color w:val="000000" w:themeColor="text1"/>
          <w:spacing w:val="1"/>
          <w:sz w:val="32"/>
          <w:szCs w:val="32"/>
          <w14:textFill>
            <w14:solidFill>
              <w14:schemeClr w14:val="tx1"/>
            </w14:solidFill>
          </w14:textFill>
        </w:rPr>
        <w:t>手续</w:t>
      </w:r>
      <w:r>
        <w:rPr>
          <w:rFonts w:hint="eastAsia" w:ascii="仿宋_GB2312" w:hAnsi="Segoe UI" w:eastAsia="仿宋_GB2312" w:cs="Segoe UI"/>
          <w:color w:val="000000" w:themeColor="text1"/>
          <w:spacing w:val="1"/>
          <w:sz w:val="32"/>
          <w:szCs w:val="32"/>
          <w14:textFill>
            <w14:solidFill>
              <w14:schemeClr w14:val="tx1"/>
            </w14:solidFill>
          </w14:textFill>
        </w:rPr>
        <w:t>；不符合</w:t>
      </w:r>
      <w:r>
        <w:rPr>
          <w:rFonts w:hint="eastAsia" w:ascii="仿宋_GB2312" w:hAnsi="Segoe UI" w:eastAsia="仿宋_GB2312" w:cs="Segoe UI"/>
          <w:color w:val="000000" w:themeColor="text1"/>
          <w:spacing w:val="1"/>
          <w:sz w:val="32"/>
          <w:szCs w:val="32"/>
          <w:lang w:eastAsia="zh-CN"/>
          <w14:textFill>
            <w14:solidFill>
              <w14:schemeClr w14:val="tx1"/>
            </w14:solidFill>
          </w14:textFill>
        </w:rPr>
        <w:t>《</w:t>
      </w:r>
      <w:r>
        <w:rPr>
          <w:rFonts w:hint="eastAsia" w:ascii="仿宋_GB2312" w:hAnsi="Segoe UI" w:eastAsia="仿宋_GB2312" w:cs="Segoe UI"/>
          <w:color w:val="000000" w:themeColor="text1"/>
          <w:spacing w:val="1"/>
          <w:sz w:val="32"/>
          <w:szCs w:val="32"/>
          <w14:textFill>
            <w14:solidFill>
              <w14:schemeClr w14:val="tx1"/>
            </w14:solidFill>
          </w14:textFill>
        </w:rPr>
        <w:t>划拨用地目录</w:t>
      </w:r>
      <w:r>
        <w:rPr>
          <w:rFonts w:hint="eastAsia" w:ascii="仿宋_GB2312" w:hAnsi="Segoe UI" w:eastAsia="仿宋_GB2312" w:cs="Segoe UI"/>
          <w:color w:val="000000" w:themeColor="text1"/>
          <w:spacing w:val="1"/>
          <w:sz w:val="32"/>
          <w:szCs w:val="32"/>
          <w:lang w:eastAsia="zh-CN"/>
          <w14:textFill>
            <w14:solidFill>
              <w14:schemeClr w14:val="tx1"/>
            </w14:solidFill>
          </w14:textFill>
        </w:rPr>
        <w:t>》</w:t>
      </w:r>
      <w:r>
        <w:rPr>
          <w:rFonts w:hint="eastAsia" w:ascii="仿宋_GB2312" w:hAnsi="Segoe UI" w:eastAsia="仿宋_GB2312" w:cs="Segoe UI"/>
          <w:color w:val="000000" w:themeColor="text1"/>
          <w:spacing w:val="1"/>
          <w:sz w:val="32"/>
          <w:szCs w:val="32"/>
          <w14:textFill>
            <w14:solidFill>
              <w14:schemeClr w14:val="tx1"/>
            </w14:solidFill>
          </w14:textFill>
        </w:rPr>
        <w:t>的，可</w:t>
      </w:r>
      <w:r>
        <w:rPr>
          <w:rFonts w:ascii="仿宋_GB2312" w:hAnsi="Segoe UI" w:eastAsia="仿宋_GB2312" w:cs="Segoe UI"/>
          <w:color w:val="000000" w:themeColor="text1"/>
          <w:spacing w:val="1"/>
          <w:sz w:val="32"/>
          <w:szCs w:val="32"/>
          <w14:textFill>
            <w14:solidFill>
              <w14:schemeClr w14:val="tx1"/>
            </w14:solidFill>
          </w14:textFill>
        </w:rPr>
        <w:t>采取</w:t>
      </w:r>
      <w:r>
        <w:rPr>
          <w:rFonts w:hint="eastAsia" w:ascii="仿宋_GB2312" w:hAnsi="Segoe UI" w:eastAsia="仿宋_GB2312" w:cs="Segoe UI"/>
          <w:color w:val="000000" w:themeColor="text1"/>
          <w:spacing w:val="1"/>
          <w:sz w:val="32"/>
          <w:szCs w:val="32"/>
          <w14:textFill>
            <w14:solidFill>
              <w14:schemeClr w14:val="tx1"/>
            </w14:solidFill>
          </w14:textFill>
        </w:rPr>
        <w:t>协议出让方式补办手续。</w:t>
      </w:r>
    </w:p>
    <w:p>
      <w:pPr>
        <w:pStyle w:val="10"/>
        <w:shd w:val="clear" w:color="auto" w:fill="FFFFFF"/>
        <w:spacing w:before="0" w:beforeAutospacing="0" w:after="0" w:afterAutospacing="0" w:line="560" w:lineRule="exact"/>
        <w:ind w:firstLine="644" w:firstLineChars="200"/>
        <w:jc w:val="both"/>
        <w:rPr>
          <w:rFonts w:ascii="仿宋_GB2312" w:hAnsi="Segoe UI" w:eastAsia="仿宋_GB2312" w:cs="Segoe UI"/>
          <w:color w:val="000000" w:themeColor="text1"/>
          <w:spacing w:val="1"/>
          <w:sz w:val="32"/>
          <w:szCs w:val="32"/>
          <w14:textFill>
            <w14:solidFill>
              <w14:schemeClr w14:val="tx1"/>
            </w14:solidFill>
          </w14:textFill>
        </w:rPr>
      </w:pPr>
      <w:r>
        <w:rPr>
          <w:rFonts w:hint="eastAsia" w:ascii="黑体" w:hAnsi="黑体" w:eastAsia="黑体" w:cs="Segoe UI"/>
          <w:color w:val="000000" w:themeColor="text1"/>
          <w:spacing w:val="1"/>
          <w:sz w:val="32"/>
          <w:szCs w:val="32"/>
          <w14:textFill>
            <w14:solidFill>
              <w14:schemeClr w14:val="tx1"/>
            </w14:solidFill>
          </w14:textFill>
        </w:rPr>
        <w:t>三、出让价款确定</w:t>
      </w:r>
    </w:p>
    <w:p>
      <w:pPr>
        <w:pStyle w:val="10"/>
        <w:shd w:val="clear" w:color="auto" w:fill="FFFFFF"/>
        <w:spacing w:before="0" w:beforeAutospacing="0" w:after="0" w:afterAutospacing="0" w:line="560" w:lineRule="exact"/>
        <w:ind w:firstLine="644" w:firstLineChars="200"/>
        <w:jc w:val="both"/>
        <w:rPr>
          <w:rFonts w:hint="eastAsia" w:ascii="仿宋_GB2312" w:hAnsi="Segoe UI" w:eastAsia="仿宋_GB2312" w:cs="Segoe UI"/>
          <w:color w:val="000000" w:themeColor="text1"/>
          <w:spacing w:val="1"/>
          <w:sz w:val="32"/>
          <w:szCs w:val="32"/>
          <w:lang w:eastAsia="zh-CN"/>
          <w14:textFill>
            <w14:solidFill>
              <w14:schemeClr w14:val="tx1"/>
            </w14:solidFill>
          </w14:textFill>
        </w:rPr>
      </w:pPr>
      <w:r>
        <w:rPr>
          <w:rFonts w:hint="eastAsia" w:ascii="仿宋_GB2312" w:hAnsi="Segoe UI" w:eastAsia="仿宋_GB2312" w:cs="Segoe UI"/>
          <w:color w:val="000000" w:themeColor="text1"/>
          <w:spacing w:val="1"/>
          <w:sz w:val="32"/>
          <w:szCs w:val="32"/>
          <w14:textFill>
            <w14:solidFill>
              <w14:schemeClr w14:val="tx1"/>
            </w14:solidFill>
          </w14:textFill>
        </w:rPr>
        <w:t>采用出让方式完善地下空间国有建设用地使用权时，以地下空间首次取得</w:t>
      </w:r>
      <w:r>
        <w:rPr>
          <w:rFonts w:hint="eastAsia" w:ascii="仿宋_GB2312" w:hAnsi="Segoe UI" w:eastAsia="仿宋_GB2312" w:cs="Segoe UI"/>
          <w:color w:val="000000" w:themeColor="text1"/>
          <w:spacing w:val="1"/>
          <w:sz w:val="32"/>
          <w:szCs w:val="32"/>
          <w:lang w:val="en-US" w:eastAsia="zh-CN"/>
          <w14:textFill>
            <w14:solidFill>
              <w14:schemeClr w14:val="tx1"/>
            </w14:solidFill>
          </w14:textFill>
        </w:rPr>
        <w:t>建设工程</w:t>
      </w:r>
      <w:r>
        <w:rPr>
          <w:rFonts w:hint="eastAsia" w:ascii="仿宋_GB2312" w:hAnsi="Segoe UI" w:eastAsia="仿宋_GB2312" w:cs="Segoe UI"/>
          <w:color w:val="000000" w:themeColor="text1"/>
          <w:spacing w:val="1"/>
          <w:sz w:val="32"/>
          <w:szCs w:val="32"/>
          <w14:textFill>
            <w14:solidFill>
              <w14:schemeClr w14:val="tx1"/>
            </w14:solidFill>
          </w14:textFill>
        </w:rPr>
        <w:t>规划许可的时间为估价</w:t>
      </w:r>
      <w:r>
        <w:rPr>
          <w:rFonts w:ascii="仿宋_GB2312" w:hAnsi="Segoe UI" w:eastAsia="仿宋_GB2312" w:cs="Segoe UI"/>
          <w:color w:val="000000" w:themeColor="text1"/>
          <w:spacing w:val="1"/>
          <w:sz w:val="32"/>
          <w:szCs w:val="32"/>
          <w14:textFill>
            <w14:solidFill>
              <w14:schemeClr w14:val="tx1"/>
            </w14:solidFill>
          </w14:textFill>
        </w:rPr>
        <w:t>期日</w:t>
      </w:r>
      <w:r>
        <w:rPr>
          <w:rFonts w:hint="eastAsia" w:ascii="仿宋_GB2312" w:hAnsi="Segoe UI" w:eastAsia="仿宋_GB2312" w:cs="Segoe UI"/>
          <w:color w:val="000000" w:themeColor="text1"/>
          <w:spacing w:val="1"/>
          <w:sz w:val="32"/>
          <w:szCs w:val="32"/>
          <w:lang w:eastAsia="zh-CN"/>
          <w14:textFill>
            <w14:solidFill>
              <w14:schemeClr w14:val="tx1"/>
            </w14:solidFill>
          </w14:textFill>
        </w:rPr>
        <w:t>，</w:t>
      </w:r>
      <w:r>
        <w:rPr>
          <w:rFonts w:hint="eastAsia" w:ascii="仿宋_GB2312" w:hAnsi="Segoe UI" w:eastAsia="仿宋_GB2312" w:cs="Segoe UI"/>
          <w:color w:val="000000" w:themeColor="text1"/>
          <w:spacing w:val="1"/>
          <w:sz w:val="32"/>
          <w:szCs w:val="32"/>
          <w14:textFill>
            <w14:solidFill>
              <w14:schemeClr w14:val="tx1"/>
            </w14:solidFill>
          </w14:textFill>
        </w:rPr>
        <w:t>按照青自然资规（规）字〔202</w:t>
      </w:r>
      <w:r>
        <w:rPr>
          <w:rFonts w:ascii="仿宋_GB2312" w:hAnsi="Segoe UI" w:eastAsia="仿宋_GB2312" w:cs="Segoe UI"/>
          <w:color w:val="000000" w:themeColor="text1"/>
          <w:spacing w:val="1"/>
          <w:sz w:val="32"/>
          <w:szCs w:val="32"/>
          <w14:textFill>
            <w14:solidFill>
              <w14:schemeClr w14:val="tx1"/>
            </w14:solidFill>
          </w14:textFill>
        </w:rPr>
        <w:t>5</w:t>
      </w:r>
      <w:r>
        <w:rPr>
          <w:rFonts w:hint="eastAsia" w:ascii="仿宋_GB2312" w:hAnsi="Segoe UI" w:eastAsia="仿宋_GB2312" w:cs="Segoe UI"/>
          <w:color w:val="000000" w:themeColor="text1"/>
          <w:spacing w:val="1"/>
          <w:sz w:val="32"/>
          <w:szCs w:val="32"/>
          <w14:textFill>
            <w14:solidFill>
              <w14:schemeClr w14:val="tx1"/>
            </w14:solidFill>
          </w14:textFill>
        </w:rPr>
        <w:t>〕</w:t>
      </w:r>
      <w:r>
        <w:rPr>
          <w:rFonts w:ascii="仿宋_GB2312" w:hAnsi="Segoe UI" w:eastAsia="仿宋_GB2312" w:cs="Segoe UI"/>
          <w:color w:val="000000" w:themeColor="text1"/>
          <w:spacing w:val="1"/>
          <w:sz w:val="32"/>
          <w:szCs w:val="32"/>
          <w14:textFill>
            <w14:solidFill>
              <w14:schemeClr w14:val="tx1"/>
            </w14:solidFill>
          </w14:textFill>
        </w:rPr>
        <w:t>1</w:t>
      </w:r>
      <w:r>
        <w:rPr>
          <w:rFonts w:hint="eastAsia" w:ascii="仿宋_GB2312" w:hAnsi="Segoe UI" w:eastAsia="仿宋_GB2312" w:cs="Segoe UI"/>
          <w:color w:val="000000" w:themeColor="text1"/>
          <w:spacing w:val="1"/>
          <w:sz w:val="32"/>
          <w:szCs w:val="32"/>
          <w14:textFill>
            <w14:solidFill>
              <w14:schemeClr w14:val="tx1"/>
            </w14:solidFill>
          </w14:textFill>
        </w:rPr>
        <w:t>号</w:t>
      </w:r>
      <w:r>
        <w:rPr>
          <w:rFonts w:hint="eastAsia" w:ascii="仿宋_GB2312" w:hAnsi="Segoe UI" w:eastAsia="仿宋_GB2312" w:cs="Segoe UI"/>
          <w:color w:val="000000" w:themeColor="text1"/>
          <w:spacing w:val="1"/>
          <w:sz w:val="32"/>
          <w:szCs w:val="32"/>
          <w:lang w:val="en-US" w:eastAsia="zh-CN"/>
          <w14:textFill>
            <w14:solidFill>
              <w14:schemeClr w14:val="tx1"/>
            </w14:solidFill>
          </w14:textFill>
        </w:rPr>
        <w:t>文件规定</w:t>
      </w:r>
      <w:r>
        <w:rPr>
          <w:rFonts w:ascii="仿宋_GB2312" w:hAnsi="Segoe UI" w:eastAsia="仿宋_GB2312" w:cs="Segoe UI"/>
          <w:color w:val="000000" w:themeColor="text1"/>
          <w:spacing w:val="1"/>
          <w:sz w:val="32"/>
          <w:szCs w:val="32"/>
          <w14:textFill>
            <w14:solidFill>
              <w14:schemeClr w14:val="tx1"/>
            </w14:solidFill>
          </w14:textFill>
        </w:rPr>
        <w:t>进行地价评估，</w:t>
      </w:r>
      <w:r>
        <w:rPr>
          <w:rFonts w:hint="eastAsia" w:ascii="仿宋_GB2312" w:hAnsi="Segoe UI" w:eastAsia="仿宋_GB2312" w:cs="Segoe UI"/>
          <w:color w:val="000000" w:themeColor="text1"/>
          <w:spacing w:val="1"/>
          <w:sz w:val="32"/>
          <w:szCs w:val="32"/>
          <w14:textFill>
            <w14:solidFill>
              <w14:schemeClr w14:val="tx1"/>
            </w14:solidFill>
          </w14:textFill>
        </w:rPr>
        <w:t>依法确定</w:t>
      </w:r>
      <w:r>
        <w:rPr>
          <w:rFonts w:ascii="仿宋_GB2312" w:hAnsi="Segoe UI" w:eastAsia="仿宋_GB2312" w:cs="Segoe UI"/>
          <w:color w:val="000000" w:themeColor="text1"/>
          <w:spacing w:val="1"/>
          <w:sz w:val="32"/>
          <w:szCs w:val="32"/>
          <w14:textFill>
            <w14:solidFill>
              <w14:schemeClr w14:val="tx1"/>
            </w14:solidFill>
          </w14:textFill>
        </w:rPr>
        <w:t>土地出让</w:t>
      </w:r>
      <w:r>
        <w:rPr>
          <w:rFonts w:hint="eastAsia" w:ascii="仿宋_GB2312" w:hAnsi="Segoe UI" w:eastAsia="仿宋_GB2312" w:cs="Segoe UI"/>
          <w:color w:val="000000" w:themeColor="text1"/>
          <w:spacing w:val="1"/>
          <w:sz w:val="32"/>
          <w:szCs w:val="32"/>
          <w14:textFill>
            <w14:solidFill>
              <w14:schemeClr w14:val="tx1"/>
            </w14:solidFill>
          </w14:textFill>
        </w:rPr>
        <w:t>价款</w:t>
      </w:r>
      <w:r>
        <w:rPr>
          <w:rFonts w:hint="eastAsia" w:ascii="仿宋_GB2312" w:hAnsi="Segoe UI" w:eastAsia="仿宋_GB2312" w:cs="Segoe UI"/>
          <w:color w:val="000000" w:themeColor="text1"/>
          <w:spacing w:val="1"/>
          <w:sz w:val="32"/>
          <w:szCs w:val="32"/>
          <w:lang w:eastAsia="zh-CN"/>
          <w14:textFill>
            <w14:solidFill>
              <w14:schemeClr w14:val="tx1"/>
            </w14:solidFill>
          </w14:textFill>
        </w:rPr>
        <w:t>。</w:t>
      </w:r>
    </w:p>
    <w:p>
      <w:pPr>
        <w:pStyle w:val="10"/>
        <w:shd w:val="clear" w:color="auto" w:fill="FFFFFF"/>
        <w:spacing w:before="0" w:beforeAutospacing="0" w:after="0" w:afterAutospacing="0" w:line="560" w:lineRule="exact"/>
        <w:ind w:firstLine="644" w:firstLineChars="200"/>
        <w:jc w:val="both"/>
        <w:rPr>
          <w:rFonts w:ascii="黑体" w:hAnsi="黑体" w:eastAsia="黑体" w:cs="Segoe UI"/>
          <w:color w:val="000000" w:themeColor="text1"/>
          <w:spacing w:val="1"/>
          <w:sz w:val="32"/>
          <w:szCs w:val="32"/>
          <w14:textFill>
            <w14:solidFill>
              <w14:schemeClr w14:val="tx1"/>
            </w14:solidFill>
          </w14:textFill>
        </w:rPr>
      </w:pPr>
      <w:r>
        <w:rPr>
          <w:rFonts w:hint="eastAsia" w:ascii="黑体" w:hAnsi="黑体" w:eastAsia="黑体" w:cs="Segoe UI"/>
          <w:color w:val="000000" w:themeColor="text1"/>
          <w:spacing w:val="1"/>
          <w:sz w:val="32"/>
          <w:szCs w:val="32"/>
          <w14:textFill>
            <w14:solidFill>
              <w14:schemeClr w14:val="tx1"/>
            </w14:solidFill>
          </w14:textFill>
        </w:rPr>
        <w:t>四、使用年限确定</w:t>
      </w:r>
    </w:p>
    <w:p>
      <w:pPr>
        <w:pStyle w:val="10"/>
        <w:shd w:val="clear" w:color="auto" w:fill="FFFFFF"/>
        <w:spacing w:before="0" w:beforeAutospacing="0" w:after="0" w:afterAutospacing="0" w:line="560" w:lineRule="exact"/>
        <w:ind w:firstLine="640" w:firstLineChars="200"/>
        <w:jc w:val="both"/>
        <w:rPr>
          <w:rFonts w:ascii="仿宋_GB2312" w:hAnsi="Segoe UI" w:eastAsia="仿宋_GB2312" w:cs="Segoe UI"/>
          <w:color w:val="000000" w:themeColor="text1"/>
          <w:spacing w:val="1"/>
          <w:sz w:val="32"/>
          <w:szCs w:val="32"/>
          <w14:textFill>
            <w14:solidFill>
              <w14:schemeClr w14:val="tx1"/>
            </w14:solidFill>
          </w14:textFill>
        </w:rPr>
      </w:pPr>
      <w:r>
        <w:rPr>
          <w:rFonts w:hint="eastAsia" w:ascii="仿宋_GB2312" w:hAnsi="ˎ̥" w:eastAsia="仿宋_GB2312"/>
          <w:color w:val="000000"/>
          <w:sz w:val="32"/>
          <w:szCs w:val="32"/>
        </w:rPr>
        <w:t>按照批准的地下空间使用用途，依法确定相应的地下空间国有建设用地使用权出让年限</w:t>
      </w:r>
      <w:r>
        <w:rPr>
          <w:rFonts w:hint="eastAsia" w:ascii="仿宋_GB2312" w:hAnsi="ˎ̥" w:eastAsia="仿宋_GB2312"/>
          <w:color w:val="000000"/>
          <w:sz w:val="32"/>
          <w:szCs w:val="32"/>
          <w:lang w:eastAsia="zh-CN"/>
        </w:rPr>
        <w:t>，</w:t>
      </w:r>
      <w:r>
        <w:rPr>
          <w:rFonts w:hint="eastAsia" w:ascii="仿宋_GB2312" w:hAnsi="ˎ̥" w:eastAsia="仿宋_GB2312"/>
          <w:color w:val="000000"/>
          <w:sz w:val="32"/>
          <w:szCs w:val="32"/>
          <w:lang w:val="en-US" w:eastAsia="zh-CN"/>
        </w:rPr>
        <w:t>终止年限与</w:t>
      </w:r>
      <w:r>
        <w:rPr>
          <w:rFonts w:hint="eastAsia" w:ascii="仿宋_GB2312" w:hAnsi="ˎ̥" w:eastAsia="仿宋_GB2312"/>
          <w:color w:val="000000"/>
          <w:sz w:val="32"/>
          <w:szCs w:val="32"/>
        </w:rPr>
        <w:t>地上相同用途建设用地的终止年限</w:t>
      </w:r>
      <w:r>
        <w:rPr>
          <w:rFonts w:hint="eastAsia" w:ascii="仿宋_GB2312" w:hAnsi="ˎ̥" w:eastAsia="仿宋_GB2312"/>
          <w:color w:val="000000"/>
          <w:sz w:val="32"/>
          <w:szCs w:val="32"/>
          <w:lang w:val="en-US" w:eastAsia="zh-CN"/>
        </w:rPr>
        <w:t>一致</w:t>
      </w:r>
      <w:r>
        <w:rPr>
          <w:rFonts w:hint="eastAsia" w:ascii="仿宋_GB2312" w:hAnsi="ˎ̥" w:eastAsia="仿宋_GB2312"/>
          <w:color w:val="000000"/>
          <w:sz w:val="32"/>
          <w:szCs w:val="32"/>
        </w:rPr>
        <w:t>。</w:t>
      </w:r>
    </w:p>
    <w:p>
      <w:pPr>
        <w:pStyle w:val="10"/>
        <w:shd w:val="clear" w:color="auto" w:fill="FFFFFF"/>
        <w:spacing w:before="0" w:beforeAutospacing="0" w:after="0" w:afterAutospacing="0" w:line="560" w:lineRule="exact"/>
        <w:ind w:firstLine="644" w:firstLineChars="200"/>
        <w:jc w:val="both"/>
        <w:rPr>
          <w:rFonts w:ascii="仿宋_GB2312" w:hAnsi="Segoe UI" w:eastAsia="仿宋_GB2312" w:cs="Segoe UI"/>
          <w:color w:val="000000" w:themeColor="text1"/>
          <w:spacing w:val="1"/>
          <w:sz w:val="32"/>
          <w:szCs w:val="32"/>
          <w14:textFill>
            <w14:solidFill>
              <w14:schemeClr w14:val="tx1"/>
            </w14:solidFill>
          </w14:textFill>
        </w:rPr>
      </w:pPr>
    </w:p>
    <w:p>
      <w:pPr>
        <w:pStyle w:val="10"/>
        <w:shd w:val="clear" w:color="auto" w:fill="FFFFFF"/>
        <w:spacing w:before="0" w:beforeAutospacing="0" w:after="0" w:afterAutospacing="0" w:line="560" w:lineRule="exact"/>
        <w:ind w:firstLine="644"/>
        <w:rPr>
          <w:rFonts w:ascii="仿宋_GB2312" w:hAnsi="Segoe UI" w:eastAsia="仿宋_GB2312" w:cs="Segoe UI"/>
          <w:color w:val="000000" w:themeColor="text1"/>
          <w:spacing w:val="1"/>
          <w:sz w:val="32"/>
          <w:szCs w:val="32"/>
          <w14:textFill>
            <w14:solidFill>
              <w14:schemeClr w14:val="tx1"/>
            </w14:solidFill>
          </w14:textFill>
        </w:rPr>
      </w:pPr>
      <w:r>
        <w:rPr>
          <w:rFonts w:hint="eastAsia" w:ascii="仿宋_GB2312" w:hAnsi="Segoe UI" w:eastAsia="仿宋_GB2312" w:cs="Segoe UI"/>
          <w:color w:val="000000" w:themeColor="text1"/>
          <w:spacing w:val="1"/>
          <w:sz w:val="32"/>
          <w:szCs w:val="32"/>
          <w14:textFill>
            <w14:solidFill>
              <w14:schemeClr w14:val="tx1"/>
            </w14:solidFill>
          </w14:textFill>
        </w:rPr>
        <w:t xml:space="preserve">                </w:t>
      </w:r>
      <w:r>
        <w:rPr>
          <w:rFonts w:ascii="仿宋_GB2312" w:hAnsi="Segoe UI" w:eastAsia="仿宋_GB2312" w:cs="Segoe UI"/>
          <w:color w:val="000000" w:themeColor="text1"/>
          <w:spacing w:val="1"/>
          <w:sz w:val="32"/>
          <w:szCs w:val="32"/>
          <w14:textFill>
            <w14:solidFill>
              <w14:schemeClr w14:val="tx1"/>
            </w14:solidFill>
          </w14:textFill>
        </w:rPr>
        <w:t xml:space="preserve">     </w:t>
      </w:r>
      <w:r>
        <w:rPr>
          <w:rFonts w:hint="eastAsia" w:ascii="仿宋_GB2312" w:hAnsi="Segoe UI" w:eastAsia="仿宋_GB2312" w:cs="Segoe UI"/>
          <w:color w:val="000000" w:themeColor="text1"/>
          <w:spacing w:val="1"/>
          <w:sz w:val="32"/>
          <w:szCs w:val="32"/>
          <w14:textFill>
            <w14:solidFill>
              <w14:schemeClr w14:val="tx1"/>
            </w14:solidFill>
          </w14:textFill>
        </w:rPr>
        <w:t>青岛市</w:t>
      </w:r>
      <w:r>
        <w:rPr>
          <w:rFonts w:ascii="仿宋_GB2312" w:hAnsi="Segoe UI" w:eastAsia="仿宋_GB2312" w:cs="Segoe UI"/>
          <w:color w:val="000000" w:themeColor="text1"/>
          <w:spacing w:val="1"/>
          <w:sz w:val="32"/>
          <w:szCs w:val="32"/>
          <w14:textFill>
            <w14:solidFill>
              <w14:schemeClr w14:val="tx1"/>
            </w14:solidFill>
          </w14:textFill>
        </w:rPr>
        <w:t>自然资源和规划局</w:t>
      </w:r>
    </w:p>
    <w:p>
      <w:pPr>
        <w:pStyle w:val="10"/>
        <w:shd w:val="clear" w:color="auto" w:fill="FFFFFF"/>
        <w:spacing w:before="0" w:beforeAutospacing="0" w:after="0" w:afterAutospacing="0" w:line="560" w:lineRule="exact"/>
        <w:ind w:firstLine="644"/>
        <w:rPr>
          <w:rFonts w:ascii="仿宋_GB2312" w:hAnsi="Segoe UI" w:eastAsia="仿宋_GB2312" w:cs="Segoe UI"/>
          <w:color w:val="000000" w:themeColor="text1"/>
          <w:spacing w:val="1"/>
          <w:sz w:val="32"/>
          <w:szCs w:val="32"/>
          <w14:textFill>
            <w14:solidFill>
              <w14:schemeClr w14:val="tx1"/>
            </w14:solidFill>
          </w14:textFill>
        </w:rPr>
      </w:pPr>
      <w:r>
        <w:rPr>
          <w:rFonts w:hint="eastAsia" w:ascii="仿宋_GB2312" w:hAnsi="Segoe UI" w:eastAsia="仿宋_GB2312" w:cs="Segoe UI"/>
          <w:color w:val="000000" w:themeColor="text1"/>
          <w:spacing w:val="1"/>
          <w:sz w:val="32"/>
          <w:szCs w:val="32"/>
          <w14:textFill>
            <w14:solidFill>
              <w14:schemeClr w14:val="tx1"/>
            </w14:solidFill>
          </w14:textFill>
        </w:rPr>
        <w:t xml:space="preserve">                   </w:t>
      </w:r>
      <w:r>
        <w:rPr>
          <w:rFonts w:ascii="仿宋_GB2312" w:hAnsi="Segoe UI" w:eastAsia="仿宋_GB2312" w:cs="Segoe UI"/>
          <w:color w:val="000000" w:themeColor="text1"/>
          <w:spacing w:val="1"/>
          <w:sz w:val="32"/>
          <w:szCs w:val="32"/>
          <w14:textFill>
            <w14:solidFill>
              <w14:schemeClr w14:val="tx1"/>
            </w14:solidFill>
          </w14:textFill>
        </w:rPr>
        <w:t xml:space="preserve">      </w:t>
      </w:r>
      <w:r>
        <w:rPr>
          <w:rFonts w:hint="eastAsia" w:ascii="仿宋_GB2312" w:hAnsi="Segoe UI" w:eastAsia="仿宋_GB2312" w:cs="Segoe UI"/>
          <w:color w:val="000000" w:themeColor="text1"/>
          <w:spacing w:val="1"/>
          <w:sz w:val="32"/>
          <w:szCs w:val="32"/>
          <w14:textFill>
            <w14:solidFill>
              <w14:schemeClr w14:val="tx1"/>
            </w14:solidFill>
          </w14:textFill>
        </w:rPr>
        <w:t>2025年</w:t>
      </w:r>
      <w:r>
        <w:rPr>
          <w:rFonts w:hint="eastAsia" w:ascii="仿宋_GB2312" w:hAnsi="Segoe UI" w:eastAsia="仿宋_GB2312" w:cs="Segoe UI"/>
          <w:color w:val="000000" w:themeColor="text1"/>
          <w:spacing w:val="1"/>
          <w:sz w:val="32"/>
          <w:szCs w:val="32"/>
          <w:lang w:val="en-US" w:eastAsia="zh-CN"/>
          <w14:textFill>
            <w14:solidFill>
              <w14:schemeClr w14:val="tx1"/>
            </w14:solidFill>
          </w14:textFill>
        </w:rPr>
        <w:t xml:space="preserve">  </w:t>
      </w:r>
      <w:r>
        <w:rPr>
          <w:rFonts w:hint="eastAsia" w:ascii="仿宋_GB2312" w:hAnsi="Segoe UI" w:eastAsia="仿宋_GB2312" w:cs="Segoe UI"/>
          <w:color w:val="000000" w:themeColor="text1"/>
          <w:spacing w:val="1"/>
          <w:sz w:val="32"/>
          <w:szCs w:val="32"/>
          <w14:textFill>
            <w14:solidFill>
              <w14:schemeClr w14:val="tx1"/>
            </w14:solidFill>
          </w14:textFill>
        </w:rPr>
        <w:t>月</w:t>
      </w:r>
      <w:r>
        <w:rPr>
          <w:rFonts w:hint="eastAsia" w:ascii="仿宋_GB2312" w:hAnsi="Segoe UI" w:eastAsia="仿宋_GB2312" w:cs="Segoe UI"/>
          <w:color w:val="000000" w:themeColor="text1"/>
          <w:spacing w:val="1"/>
          <w:sz w:val="32"/>
          <w:szCs w:val="32"/>
          <w:lang w:val="en-US" w:eastAsia="zh-CN"/>
          <w14:textFill>
            <w14:solidFill>
              <w14:schemeClr w14:val="tx1"/>
            </w14:solidFill>
          </w14:textFill>
        </w:rPr>
        <w:t xml:space="preserve">  </w:t>
      </w:r>
      <w:r>
        <w:rPr>
          <w:rFonts w:hint="eastAsia" w:ascii="仿宋_GB2312" w:hAnsi="Segoe UI" w:eastAsia="仿宋_GB2312" w:cs="Segoe UI"/>
          <w:color w:val="000000" w:themeColor="text1"/>
          <w:spacing w:val="1"/>
          <w:sz w:val="32"/>
          <w:szCs w:val="32"/>
          <w14:textFill>
            <w14:solidFill>
              <w14:schemeClr w14:val="tx1"/>
            </w14:solidFill>
          </w14:textFill>
        </w:rPr>
        <w:t>日</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Calibri Light">
    <w:altName w:val="Calibri"/>
    <w:panose1 w:val="020F0302020204030204"/>
    <w:charset w:val="00"/>
    <w:family w:val="swiss"/>
    <w:pitch w:val="default"/>
    <w:sig w:usb0="00000000" w:usb1="00000000" w:usb2="00000009" w:usb3="00000000" w:csb0="200001FF" w:csb1="00000000"/>
  </w:font>
  <w:font w:name="Segoe UI">
    <w:panose1 w:val="020B0502040204020203"/>
    <w:charset w:val="00"/>
    <w:family w:val="swiss"/>
    <w:pitch w:val="default"/>
    <w:sig w:usb0="E10022FF" w:usb1="C000E47F" w:usb2="00000029" w:usb3="00000000" w:csb0="200001DF" w:csb1="2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ABA"/>
    <w:rsid w:val="001323B9"/>
    <w:rsid w:val="00163DCF"/>
    <w:rsid w:val="001C6E07"/>
    <w:rsid w:val="002346B5"/>
    <w:rsid w:val="00275FB5"/>
    <w:rsid w:val="002D7739"/>
    <w:rsid w:val="00330334"/>
    <w:rsid w:val="00367DA7"/>
    <w:rsid w:val="003D7329"/>
    <w:rsid w:val="00500400"/>
    <w:rsid w:val="00522DDF"/>
    <w:rsid w:val="0057756C"/>
    <w:rsid w:val="005A68F6"/>
    <w:rsid w:val="0064670D"/>
    <w:rsid w:val="006D7772"/>
    <w:rsid w:val="00792D79"/>
    <w:rsid w:val="007E09FC"/>
    <w:rsid w:val="00813FD3"/>
    <w:rsid w:val="00825979"/>
    <w:rsid w:val="008427CC"/>
    <w:rsid w:val="008A75DE"/>
    <w:rsid w:val="008B78CA"/>
    <w:rsid w:val="00942A97"/>
    <w:rsid w:val="009F11D6"/>
    <w:rsid w:val="009F7AE0"/>
    <w:rsid w:val="00A14A34"/>
    <w:rsid w:val="00A373D5"/>
    <w:rsid w:val="00AA0560"/>
    <w:rsid w:val="00AD4215"/>
    <w:rsid w:val="00AD66C0"/>
    <w:rsid w:val="00B00AEF"/>
    <w:rsid w:val="00B16E7D"/>
    <w:rsid w:val="00B34D74"/>
    <w:rsid w:val="00BC6044"/>
    <w:rsid w:val="00D16247"/>
    <w:rsid w:val="00D17909"/>
    <w:rsid w:val="00D70C2D"/>
    <w:rsid w:val="00DF4205"/>
    <w:rsid w:val="00E13ABA"/>
    <w:rsid w:val="00ED418D"/>
    <w:rsid w:val="16010233"/>
    <w:rsid w:val="170E4254"/>
    <w:rsid w:val="34CB30D7"/>
    <w:rsid w:val="35D95C2B"/>
    <w:rsid w:val="36692406"/>
    <w:rsid w:val="3F2D44A7"/>
    <w:rsid w:val="51B85D80"/>
    <w:rsid w:val="51FE2F14"/>
    <w:rsid w:val="5EE16198"/>
    <w:rsid w:val="6EE853FF"/>
    <w:rsid w:val="77FB5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32"/>
      <w:lang w:val="en-US" w:eastAsia="zh-CN" w:bidi="ar-SA"/>
    </w:rPr>
  </w:style>
  <w:style w:type="paragraph" w:styleId="2">
    <w:name w:val="heading 1"/>
    <w:basedOn w:val="1"/>
    <w:next w:val="1"/>
    <w:link w:val="15"/>
    <w:qFormat/>
    <w:uiPriority w:val="9"/>
    <w:pPr>
      <w:keepNext/>
      <w:keepLines/>
      <w:ind w:firstLine="0" w:firstLineChars="0"/>
      <w:jc w:val="center"/>
      <w:outlineLvl w:val="0"/>
    </w:pPr>
    <w:rPr>
      <w:rFonts w:eastAsia="方正小标宋_GBK"/>
      <w:b/>
      <w:bCs/>
      <w:kern w:val="44"/>
      <w:sz w:val="44"/>
      <w:szCs w:val="44"/>
    </w:rPr>
  </w:style>
  <w:style w:type="paragraph" w:styleId="3">
    <w:name w:val="heading 2"/>
    <w:basedOn w:val="1"/>
    <w:next w:val="1"/>
    <w:link w:val="16"/>
    <w:unhideWhenUsed/>
    <w:qFormat/>
    <w:uiPriority w:val="9"/>
    <w:pPr>
      <w:keepNext/>
      <w:keepLines/>
      <w:jc w:val="left"/>
      <w:outlineLvl w:val="1"/>
    </w:pPr>
    <w:rPr>
      <w:rFonts w:eastAsia="黑体" w:asciiTheme="majorHAnsi" w:hAnsiTheme="majorHAnsi" w:cstheme="majorBidi"/>
      <w:b/>
      <w:bCs/>
    </w:rPr>
  </w:style>
  <w:style w:type="paragraph" w:styleId="4">
    <w:name w:val="heading 3"/>
    <w:basedOn w:val="1"/>
    <w:next w:val="1"/>
    <w:link w:val="18"/>
    <w:semiHidden/>
    <w:unhideWhenUsed/>
    <w:qFormat/>
    <w:uiPriority w:val="9"/>
    <w:pPr>
      <w:keepNext/>
      <w:keepLines/>
      <w:spacing w:before="260" w:after="260" w:line="416" w:lineRule="atLeast"/>
      <w:outlineLvl w:val="2"/>
    </w:pPr>
    <w:rPr>
      <w:b/>
      <w:bCs/>
    </w:rPr>
  </w:style>
  <w:style w:type="paragraph" w:styleId="5">
    <w:name w:val="heading 4"/>
    <w:basedOn w:val="1"/>
    <w:next w:val="1"/>
    <w:link w:val="19"/>
    <w:semiHidden/>
    <w:unhideWhenUsed/>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0"/>
    <w:semiHidden/>
    <w:unhideWhenUsed/>
    <w:qFormat/>
    <w:uiPriority w:val="99"/>
    <w:pPr>
      <w:spacing w:line="240" w:lineRule="auto"/>
    </w:pPr>
    <w:rPr>
      <w:sz w:val="18"/>
      <w:szCs w:val="18"/>
    </w:rPr>
  </w:style>
  <w:style w:type="paragraph" w:styleId="8">
    <w:name w:val="footer"/>
    <w:basedOn w:val="1"/>
    <w:link w:val="22"/>
    <w:unhideWhenUsed/>
    <w:qFormat/>
    <w:uiPriority w:val="99"/>
    <w:pPr>
      <w:tabs>
        <w:tab w:val="center" w:pos="4153"/>
        <w:tab w:val="right" w:pos="8306"/>
      </w:tabs>
      <w:snapToGrid w:val="0"/>
      <w:spacing w:line="240" w:lineRule="atLeast"/>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0">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11">
    <w:name w:val="Title"/>
    <w:basedOn w:val="1"/>
    <w:next w:val="1"/>
    <w:link w:val="17"/>
    <w:qFormat/>
    <w:uiPriority w:val="0"/>
    <w:pPr>
      <w:ind w:firstLine="0" w:firstLineChars="0"/>
      <w:jc w:val="center"/>
      <w:outlineLvl w:val="0"/>
    </w:pPr>
    <w:rPr>
      <w:rFonts w:eastAsia="方正小标宋_GBK" w:asciiTheme="majorHAnsi" w:hAnsiTheme="majorHAnsi" w:cstheme="majorBidi"/>
      <w:b/>
      <w:bCs/>
      <w:sz w:val="44"/>
    </w:rPr>
  </w:style>
  <w:style w:type="character" w:styleId="14">
    <w:name w:val="annotation reference"/>
    <w:basedOn w:val="13"/>
    <w:semiHidden/>
    <w:unhideWhenUsed/>
    <w:qFormat/>
    <w:uiPriority w:val="99"/>
    <w:rPr>
      <w:sz w:val="21"/>
      <w:szCs w:val="21"/>
    </w:rPr>
  </w:style>
  <w:style w:type="character" w:customStyle="1" w:styleId="15">
    <w:name w:val="标题 1 Char"/>
    <w:basedOn w:val="13"/>
    <w:link w:val="2"/>
    <w:qFormat/>
    <w:uiPriority w:val="9"/>
    <w:rPr>
      <w:rFonts w:eastAsia="方正小标宋_GBK"/>
      <w:b/>
      <w:bCs/>
      <w:kern w:val="44"/>
      <w:sz w:val="44"/>
      <w:szCs w:val="44"/>
    </w:rPr>
  </w:style>
  <w:style w:type="character" w:customStyle="1" w:styleId="16">
    <w:name w:val="标题 2 Char"/>
    <w:basedOn w:val="13"/>
    <w:link w:val="3"/>
    <w:qFormat/>
    <w:uiPriority w:val="9"/>
    <w:rPr>
      <w:rFonts w:eastAsia="黑体" w:asciiTheme="majorHAnsi" w:hAnsiTheme="majorHAnsi" w:cstheme="majorBidi"/>
      <w:b/>
      <w:bCs/>
      <w:sz w:val="32"/>
      <w:szCs w:val="32"/>
    </w:rPr>
  </w:style>
  <w:style w:type="character" w:customStyle="1" w:styleId="17">
    <w:name w:val="标题 Char"/>
    <w:basedOn w:val="13"/>
    <w:link w:val="11"/>
    <w:qFormat/>
    <w:uiPriority w:val="0"/>
    <w:rPr>
      <w:rFonts w:eastAsia="方正小标宋_GBK" w:asciiTheme="majorHAnsi" w:hAnsiTheme="majorHAnsi" w:cstheme="majorBidi"/>
      <w:b/>
      <w:bCs/>
      <w:sz w:val="44"/>
      <w:szCs w:val="32"/>
    </w:rPr>
  </w:style>
  <w:style w:type="character" w:customStyle="1" w:styleId="18">
    <w:name w:val="标题 3 Char"/>
    <w:basedOn w:val="13"/>
    <w:link w:val="4"/>
    <w:semiHidden/>
    <w:qFormat/>
    <w:uiPriority w:val="9"/>
    <w:rPr>
      <w:rFonts w:ascii="Calibri" w:hAnsi="Calibri" w:eastAsia="仿宋_GB2312" w:cs="Times New Roman"/>
      <w:b/>
      <w:bCs/>
      <w:sz w:val="32"/>
      <w:szCs w:val="32"/>
    </w:rPr>
  </w:style>
  <w:style w:type="character" w:customStyle="1" w:styleId="19">
    <w:name w:val="标题 4 Char"/>
    <w:basedOn w:val="13"/>
    <w:link w:val="5"/>
    <w:semiHidden/>
    <w:qFormat/>
    <w:uiPriority w:val="9"/>
    <w:rPr>
      <w:rFonts w:asciiTheme="majorHAnsi" w:hAnsiTheme="majorHAnsi" w:eastAsiaTheme="majorEastAsia" w:cstheme="majorBidi"/>
      <w:b/>
      <w:bCs/>
      <w:sz w:val="28"/>
      <w:szCs w:val="28"/>
    </w:rPr>
  </w:style>
  <w:style w:type="character" w:customStyle="1" w:styleId="20">
    <w:name w:val="批注框文本 Char"/>
    <w:basedOn w:val="13"/>
    <w:link w:val="7"/>
    <w:semiHidden/>
    <w:qFormat/>
    <w:uiPriority w:val="99"/>
    <w:rPr>
      <w:rFonts w:ascii="Calibri" w:hAnsi="Calibri" w:eastAsia="仿宋_GB2312" w:cs="Times New Roman"/>
      <w:sz w:val="18"/>
      <w:szCs w:val="18"/>
    </w:rPr>
  </w:style>
  <w:style w:type="character" w:customStyle="1" w:styleId="21">
    <w:name w:val="页眉 Char"/>
    <w:basedOn w:val="13"/>
    <w:link w:val="9"/>
    <w:qFormat/>
    <w:uiPriority w:val="99"/>
    <w:rPr>
      <w:rFonts w:ascii="Calibri" w:hAnsi="Calibri" w:eastAsia="仿宋_GB2312" w:cs="Times New Roman"/>
      <w:sz w:val="18"/>
      <w:szCs w:val="18"/>
    </w:rPr>
  </w:style>
  <w:style w:type="character" w:customStyle="1" w:styleId="22">
    <w:name w:val="页脚 Char"/>
    <w:basedOn w:val="13"/>
    <w:link w:val="8"/>
    <w:qFormat/>
    <w:uiPriority w:val="99"/>
    <w:rPr>
      <w:rFonts w:ascii="Calibri" w:hAnsi="Calibri" w:eastAsia="仿宋_GB2312"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MS</Company>
  <Pages>3</Pages>
  <Words>150</Words>
  <Characters>860</Characters>
  <Lines>7</Lines>
  <Paragraphs>2</Paragraphs>
  <TotalTime>67</TotalTime>
  <ScaleCrop>false</ScaleCrop>
  <LinksUpToDate>false</LinksUpToDate>
  <CharactersWithSpaces>1008</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2025-02-27T00:34:00Z</dcterms:created>
  <dc:creator>Administrator</dc:creator>
  <cp:lastModifiedBy>Administrator</cp:lastModifiedBy>
  <cp:lastPrinted>2025-03-03T06:08:23Z</cp:lastPrinted>
  <dcterms:modified xsi:type="dcterms:W3CDTF">2025-03-03T06:08:29Z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AB393BE2E9A040B5B696C261789E5CF6_13</vt:lpwstr>
  </property>
  <property fmtid="{D5CDD505-2E9C-101B-9397-08002B2CF9AE}" pid="4" name="KSOTemplateDocerSaveRecord">
    <vt:lpwstr>eyJoZGlkIjoiYWJmNTAxYTA0NTllZTU0OWY5NWY0MWNlMzBjNGU2OTYiLCJ1c2VySWQiOiIzMTI1NzE3NjgifQ==</vt:lpwstr>
  </property>
</Properties>
</file>